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Фонд ООН у галузі народонаселення шукає консультанта/-ку з юридичних питань у сфері сексуального та репродуктивного здоров’я</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Про UNFPA</w:t>
      </w:r>
    </w:p>
    <w:p w:rsidR="00000000" w:rsidDel="00000000" w:rsidP="00000000" w:rsidRDefault="00000000" w:rsidRPr="00000000" w14:paraId="00000004">
      <w:pPr>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w:t>
      </w:r>
    </w:p>
    <w:p w:rsidR="00000000" w:rsidDel="00000000" w:rsidP="00000000" w:rsidRDefault="00000000" w:rsidRPr="00000000" w14:paraId="00000005">
      <w:pPr>
        <w:numPr>
          <w:ilvl w:val="0"/>
          <w:numId w:val="5"/>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to end preventable maternal deaths; </w:t>
      </w:r>
    </w:p>
    <w:p w:rsidR="00000000" w:rsidDel="00000000" w:rsidP="00000000" w:rsidRDefault="00000000" w:rsidRPr="00000000" w14:paraId="00000006">
      <w:pPr>
        <w:numPr>
          <w:ilvl w:val="0"/>
          <w:numId w:val="5"/>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end unmet need for family planning; </w:t>
      </w:r>
    </w:p>
    <w:p w:rsidR="00000000" w:rsidDel="00000000" w:rsidP="00000000" w:rsidRDefault="00000000" w:rsidRPr="00000000" w14:paraId="00000007">
      <w:pPr>
        <w:numPr>
          <w:ilvl w:val="0"/>
          <w:numId w:val="5"/>
        </w:numPr>
        <w:spacing w:after="160"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and end gender-based violence and harmful practices.</w:t>
      </w:r>
    </w:p>
    <w:p w:rsidR="00000000" w:rsidDel="00000000" w:rsidP="00000000" w:rsidRDefault="00000000" w:rsidRPr="00000000" w14:paraId="00000008">
      <w:pPr>
        <w:spacing w:line="240" w:lineRule="auto"/>
        <w:ind w:hanging="2"/>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UNFPA is also working with governments and communities to strengthen and build resilient health systems, including supporting the implementation of SRHR programmes in the context of humanitarian and development context, improving the quality of reproductive health care, and strengthening human resources for health. </w:t>
      </w:r>
    </w:p>
    <w:p w:rsidR="00000000" w:rsidDel="00000000" w:rsidP="00000000" w:rsidRDefault="00000000" w:rsidRPr="00000000" w14:paraId="00000009">
      <w:pP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Мета</w:t>
      </w:r>
    </w:p>
    <w:p w:rsidR="00000000" w:rsidDel="00000000" w:rsidP="00000000" w:rsidRDefault="00000000" w:rsidRPr="00000000" w14:paraId="0000000B">
      <w:pPr>
        <w:spacing w:line="240" w:lineRule="auto"/>
        <w:ind w:hanging="2"/>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SRH humanitarian response program is providing comprehensive support to fill existing gaps and address needs in SRH services in close coordination with the Ministry of Health (MOH) of Ukraine local health authorities and with maximum possible integration with the existing health care system.</w:t>
      </w:r>
    </w:p>
    <w:p w:rsidR="00000000" w:rsidDel="00000000" w:rsidP="00000000" w:rsidRDefault="00000000" w:rsidRPr="00000000" w14:paraId="0000000C">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SRHR Legal Expert will provide advisory and technical assistance to the MOH of Ukraine and work closely with UNFPA experts on the development of state policies. In particular:</w:t>
      </w:r>
    </w:p>
    <w:p w:rsidR="00000000" w:rsidDel="00000000" w:rsidP="00000000" w:rsidRDefault="00000000" w:rsidRPr="00000000" w14:paraId="0000000D">
      <w:pPr>
        <w:numPr>
          <w:ilvl w:val="0"/>
          <w:numId w:val="4"/>
        </w:numPr>
        <w:spacing w:after="0" w:afterAutospacing="0" w:before="240" w:line="240" w:lineRule="auto"/>
        <w:ind w:left="718"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primary role of the SRHR Legal Expert seconded to the MOH is to support the Ministry in advancing health policies, focusing on UNFPA priorities in SRHR.</w:t>
      </w:r>
    </w:p>
    <w:p w:rsidR="00000000" w:rsidDel="00000000" w:rsidP="00000000" w:rsidRDefault="00000000" w:rsidRPr="00000000" w14:paraId="0000000E">
      <w:pPr>
        <w:numPr>
          <w:ilvl w:val="0"/>
          <w:numId w:val="4"/>
        </w:numPr>
        <w:spacing w:after="240" w:before="0" w:beforeAutospacing="0" w:line="240" w:lineRule="auto"/>
        <w:ind w:left="718"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Secondly, the SRHR Legal Expert facilitates and supports the UNFPA advocacy and policy dialogue in order to improve barrier-free access to SRHR services through further integration of SRHR into MOH health strategy, policies and NHS packages. </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rtl w:val="0"/>
        </w:rPr>
        <w:t xml:space="preserve">Обсяг робіт</w:t>
      </w:r>
      <w:r w:rsidDel="00000000" w:rsidR="00000000" w:rsidRPr="00000000">
        <w:rPr>
          <w:rtl w:val="0"/>
        </w:rPr>
      </w:r>
    </w:p>
    <w:p w:rsidR="00000000" w:rsidDel="00000000" w:rsidP="00000000" w:rsidRDefault="00000000" w:rsidRPr="00000000" w14:paraId="00000010">
      <w:pPr>
        <w:numPr>
          <w:ilvl w:val="0"/>
          <w:numId w:val="2"/>
        </w:numPr>
        <w:spacing w:line="259" w:lineRule="auto"/>
        <w:ind w:left="360"/>
        <w:rPr>
          <w:rFonts w:ascii="Calibri" w:cs="Calibri" w:eastAsia="Calibri" w:hAnsi="Calibri"/>
        </w:rPr>
      </w:pPr>
      <w:r w:rsidDel="00000000" w:rsidR="00000000" w:rsidRPr="00000000">
        <w:rPr>
          <w:rFonts w:ascii="Calibri" w:cs="Calibri" w:eastAsia="Calibri" w:hAnsi="Calibri"/>
          <w:rtl w:val="0"/>
        </w:rPr>
        <w:t xml:space="preserve">Work closely with the First Deputy Minister's office and MOH Departments that are responsible for SRHR policy development and implementation</w:t>
      </w:r>
    </w:p>
    <w:p w:rsidR="00000000" w:rsidDel="00000000" w:rsidP="00000000" w:rsidRDefault="00000000" w:rsidRPr="00000000" w14:paraId="00000011">
      <w:pPr>
        <w:numPr>
          <w:ilvl w:val="0"/>
          <w:numId w:val="2"/>
        </w:numPr>
        <w:spacing w:line="259" w:lineRule="auto"/>
        <w:ind w:left="360"/>
        <w:rPr>
          <w:rFonts w:ascii="Calibri" w:cs="Calibri" w:eastAsia="Calibri" w:hAnsi="Calibri"/>
        </w:rPr>
      </w:pPr>
      <w:r w:rsidDel="00000000" w:rsidR="00000000" w:rsidRPr="00000000">
        <w:rPr>
          <w:rFonts w:ascii="Calibri" w:cs="Calibri" w:eastAsia="Calibri" w:hAnsi="Calibri"/>
          <w:rtl w:val="0"/>
        </w:rPr>
        <w:t xml:space="preserve">Conduct analysis of the current state of legal regulation in the field of sexual and reproductive health and rights (SRHR) (MCH, cervical and breast oncological diseases; family planning system, youth health), national SRH standards and protocols.</w:t>
      </w:r>
    </w:p>
    <w:p w:rsidR="00000000" w:rsidDel="00000000" w:rsidP="00000000" w:rsidRDefault="00000000" w:rsidRPr="00000000" w14:paraId="00000012">
      <w:pPr>
        <w:numPr>
          <w:ilvl w:val="0"/>
          <w:numId w:val="2"/>
        </w:numPr>
        <w:spacing w:line="259" w:lineRule="auto"/>
        <w:ind w:left="360"/>
        <w:rPr>
          <w:rFonts w:ascii="Calibri" w:cs="Calibri" w:eastAsia="Calibri" w:hAnsi="Calibri"/>
        </w:rPr>
      </w:pPr>
      <w:r w:rsidDel="00000000" w:rsidR="00000000" w:rsidRPr="00000000">
        <w:rPr>
          <w:rFonts w:ascii="Calibri" w:cs="Calibri" w:eastAsia="Calibri" w:hAnsi="Calibri"/>
          <w:rtl w:val="0"/>
        </w:rPr>
        <w:t xml:space="preserve">Work with MOH and key national counterparts and experts on improvement of the MOH Action Plan that will address all key aspects of SRH, including family planning, maternal health, safe abortion, reproductive cancers, health professional education standards, comprehensive sexuality education, and adolescent sexual and reproductive health.</w:t>
      </w:r>
    </w:p>
    <w:p w:rsidR="00000000" w:rsidDel="00000000" w:rsidP="00000000" w:rsidRDefault="00000000" w:rsidRPr="00000000" w14:paraId="00000013">
      <w:pPr>
        <w:numPr>
          <w:ilvl w:val="0"/>
          <w:numId w:val="2"/>
        </w:numPr>
        <w:spacing w:after="0" w:before="0" w:line="259" w:lineRule="auto"/>
        <w:ind w:left="360"/>
        <w:rPr>
          <w:rFonts w:ascii="Calibri" w:cs="Calibri" w:eastAsia="Calibri" w:hAnsi="Calibri"/>
        </w:rPr>
      </w:pPr>
      <w:r w:rsidDel="00000000" w:rsidR="00000000" w:rsidRPr="00000000">
        <w:rPr>
          <w:rFonts w:ascii="Calibri" w:cs="Calibri" w:eastAsia="Calibri" w:hAnsi="Calibri"/>
          <w:rtl w:val="0"/>
        </w:rPr>
        <w:t xml:space="preserve">Create an MOH SRHR working group of experts that includes key international and national experts. The Group will meet on a monthly basis.  </w:t>
      </w:r>
    </w:p>
    <w:p w:rsidR="00000000" w:rsidDel="00000000" w:rsidP="00000000" w:rsidRDefault="00000000" w:rsidRPr="00000000" w14:paraId="00000014">
      <w:pPr>
        <w:numPr>
          <w:ilvl w:val="0"/>
          <w:numId w:val="2"/>
        </w:numPr>
        <w:spacing w:after="0" w:before="0" w:line="259" w:lineRule="auto"/>
        <w:ind w:left="360"/>
        <w:rPr>
          <w:rFonts w:ascii="Calibri" w:cs="Calibri" w:eastAsia="Calibri" w:hAnsi="Calibri"/>
        </w:rPr>
      </w:pPr>
      <w:r w:rsidDel="00000000" w:rsidR="00000000" w:rsidRPr="00000000">
        <w:rPr>
          <w:rFonts w:ascii="Calibri" w:cs="Calibri" w:eastAsia="Calibri" w:hAnsi="Calibri"/>
          <w:rtl w:val="0"/>
        </w:rPr>
        <w:t xml:space="preserve">Make amendments to the regulation of the health system's response to GBV/SGBV and CRSV.</w:t>
      </w:r>
    </w:p>
    <w:p w:rsidR="00000000" w:rsidDel="00000000" w:rsidP="00000000" w:rsidRDefault="00000000" w:rsidRPr="00000000" w14:paraId="00000015">
      <w:pPr>
        <w:numPr>
          <w:ilvl w:val="0"/>
          <w:numId w:val="2"/>
        </w:numPr>
        <w:spacing w:after="0" w:line="259" w:lineRule="auto"/>
        <w:ind w:left="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Introduction of FP package. Increase the capacity of providers to provide FP service, especially at the primary level.</w:t>
      </w:r>
    </w:p>
    <w:p w:rsidR="00000000" w:rsidDel="00000000" w:rsidP="00000000" w:rsidRDefault="00000000" w:rsidRPr="00000000" w14:paraId="00000016">
      <w:pPr>
        <w:numPr>
          <w:ilvl w:val="0"/>
          <w:numId w:val="6"/>
        </w:numPr>
        <w:spacing w:after="0" w:line="259" w:lineRule="auto"/>
        <w:ind w:left="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Comprehensive monthly work plans will be discussed with the MOH</w:t>
      </w:r>
      <w:r w:rsidDel="00000000" w:rsidR="00000000" w:rsidRPr="00000000">
        <w:rPr>
          <w:rtl w:val="0"/>
        </w:rPr>
      </w:r>
    </w:p>
    <w:p w:rsidR="00000000" w:rsidDel="00000000" w:rsidP="00000000" w:rsidRDefault="00000000" w:rsidRPr="00000000" w14:paraId="00000017">
      <w:pPr>
        <w:spacing w:line="240" w:lineRule="auto"/>
        <w:ind w:hanging="2"/>
        <w:rPr>
          <w:rFonts w:ascii="Calibri" w:cs="Calibri" w:eastAsia="Calibri" w:hAnsi="Calibri"/>
          <w:b w:val="1"/>
        </w:rPr>
      </w:pPr>
      <w:r w:rsidDel="00000000" w:rsidR="00000000" w:rsidRPr="00000000">
        <w:rPr>
          <w:rFonts w:ascii="Calibri" w:cs="Calibri" w:eastAsia="Calibri" w:hAnsi="Calibri"/>
          <w:b w:val="1"/>
          <w:rtl w:val="0"/>
        </w:rPr>
        <w:t xml:space="preserve">Очікувані результати</w:t>
      </w:r>
    </w:p>
    <w:p w:rsidR="00000000" w:rsidDel="00000000" w:rsidP="00000000" w:rsidRDefault="00000000" w:rsidRPr="00000000" w14:paraId="00000018">
      <w:pPr>
        <w:numPr>
          <w:ilvl w:val="0"/>
          <w:numId w:val="7"/>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Monthly report on support the DM office in advancing health policies, focusing on UNFPA priorities in SRHR</w:t>
      </w:r>
    </w:p>
    <w:p w:rsidR="00000000" w:rsidDel="00000000" w:rsidP="00000000" w:rsidRDefault="00000000" w:rsidRPr="00000000" w14:paraId="00000019">
      <w:pPr>
        <w:numPr>
          <w:ilvl w:val="0"/>
          <w:numId w:val="7"/>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Participation in MOH meetings related to Health Policy and Strategy development and advocacy for the inclusion of SRHR priorities. </w:t>
      </w:r>
    </w:p>
    <w:p w:rsidR="00000000" w:rsidDel="00000000" w:rsidP="00000000" w:rsidRDefault="00000000" w:rsidRPr="00000000" w14:paraId="0000001A">
      <w:pPr>
        <w:numPr>
          <w:ilvl w:val="0"/>
          <w:numId w:val="7"/>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Develop a list of MOH policy documents regulating SRHR and CMR/CSRV. Conduct analysis of the documents.</w:t>
      </w:r>
    </w:p>
    <w:p w:rsidR="00000000" w:rsidDel="00000000" w:rsidP="00000000" w:rsidRDefault="00000000" w:rsidRPr="00000000" w14:paraId="0000001B">
      <w:pPr>
        <w:numPr>
          <w:ilvl w:val="0"/>
          <w:numId w:val="7"/>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Based on analysis, provide draft amendments to regulation on inclusion of SRH service.</w:t>
      </w:r>
    </w:p>
    <w:p w:rsidR="00000000" w:rsidDel="00000000" w:rsidP="00000000" w:rsidRDefault="00000000" w:rsidRPr="00000000" w14:paraId="0000001C">
      <w:pPr>
        <w:numPr>
          <w:ilvl w:val="0"/>
          <w:numId w:val="7"/>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MOH SRHR working group created, and key international and national experts are included; regular monthly meetings are conducted.</w:t>
      </w:r>
    </w:p>
    <w:p w:rsidR="00000000" w:rsidDel="00000000" w:rsidP="00000000" w:rsidRDefault="00000000" w:rsidRPr="00000000" w14:paraId="0000001D">
      <w:pPr>
        <w:numPr>
          <w:ilvl w:val="0"/>
          <w:numId w:val="7"/>
        </w:numPr>
        <w:spacing w:line="259" w:lineRule="auto"/>
        <w:ind w:left="718" w:hanging="360"/>
        <w:jc w:val="both"/>
        <w:rPr>
          <w:rFonts w:ascii="Calibri" w:cs="Calibri" w:eastAsia="Calibri" w:hAnsi="Calibri"/>
        </w:rPr>
      </w:pPr>
      <w:r w:rsidDel="00000000" w:rsidR="00000000" w:rsidRPr="00000000">
        <w:rPr>
          <w:rFonts w:ascii="Calibri" w:cs="Calibri" w:eastAsia="Calibri" w:hAnsi="Calibri"/>
          <w:rtl w:val="0"/>
        </w:rPr>
        <w:t xml:space="preserve">Recommendation of SRH TWG to the regulation of the health system's response to GBV/SGBV and CRSV are analyzed and amendments approved</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leader="none" w:pos="-720"/>
        </w:tabs>
        <w:spacing w:after="54" w:before="40" w:line="240" w:lineRule="auto"/>
        <w:ind w:hanging="2"/>
        <w:rPr>
          <w:rFonts w:ascii="Calibri" w:cs="Calibri" w:eastAsia="Calibri" w:hAnsi="Calibri"/>
        </w:rPr>
      </w:pPr>
      <w:r w:rsidDel="00000000" w:rsidR="00000000" w:rsidRPr="00000000">
        <w:rPr>
          <w:rFonts w:ascii="Calibri" w:cs="Calibri" w:eastAsia="Calibri" w:hAnsi="Calibri"/>
          <w:b w:val="1"/>
          <w:rtl w:val="0"/>
        </w:rPr>
        <w:t xml:space="preserve">Duration:</w:t>
      </w:r>
      <w:r w:rsidDel="00000000" w:rsidR="00000000" w:rsidRPr="00000000">
        <w:rPr>
          <w:rFonts w:ascii="Calibri" w:cs="Calibri" w:eastAsia="Calibri" w:hAnsi="Calibri"/>
          <w:rtl w:val="0"/>
        </w:rPr>
        <w:t xml:space="preserve"> 1 April 2024  - 28 February, 2025 (11 months)</w:t>
      </w:r>
    </w:p>
    <w:p w:rsidR="00000000" w:rsidDel="00000000" w:rsidP="00000000" w:rsidRDefault="00000000" w:rsidRPr="00000000" w14:paraId="00000020">
      <w:pPr>
        <w:tabs>
          <w:tab w:val="left" w:leader="none" w:pos="-720"/>
        </w:tabs>
        <w:spacing w:after="54" w:before="40" w:line="240" w:lineRule="auto"/>
        <w:ind w:hanging="2"/>
        <w:rPr>
          <w:rFonts w:ascii="Calibri" w:cs="Calibri" w:eastAsia="Calibri" w:hAnsi="Calibri"/>
          <w:b w:val="1"/>
        </w:rPr>
      </w:pPr>
      <w:r w:rsidDel="00000000" w:rsidR="00000000" w:rsidRPr="00000000">
        <w:rPr>
          <w:rFonts w:ascii="Calibri" w:cs="Calibri" w:eastAsia="Calibri" w:hAnsi="Calibri"/>
          <w:b w:val="1"/>
          <w:rtl w:val="0"/>
        </w:rPr>
        <w:t xml:space="preserve">Місце надання послуг: </w:t>
      </w:r>
      <w:r w:rsidDel="00000000" w:rsidR="00000000" w:rsidRPr="00000000">
        <w:rPr>
          <w:rFonts w:ascii="Calibri" w:cs="Calibri" w:eastAsia="Calibri" w:hAnsi="Calibri"/>
          <w:rtl w:val="0"/>
        </w:rPr>
        <w:t xml:space="preserve">In-person and remotely</w:t>
      </w:r>
      <w:r w:rsidDel="00000000" w:rsidR="00000000" w:rsidRPr="00000000">
        <w:rPr>
          <w:rtl w:val="0"/>
        </w:rPr>
      </w:r>
    </w:p>
    <w:p w:rsidR="00000000" w:rsidDel="00000000" w:rsidP="00000000" w:rsidRDefault="00000000" w:rsidRPr="00000000" w14:paraId="00000021">
      <w:pPr>
        <w:tabs>
          <w:tab w:val="left" w:leader="none" w:pos="-720"/>
        </w:tabs>
        <w:spacing w:after="54" w:before="40"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22">
      <w:pPr>
        <w:tabs>
          <w:tab w:val="left" w:leader="none" w:pos="-720"/>
        </w:tabs>
        <w:spacing w:after="54" w:before="40" w:line="240" w:lineRule="auto"/>
        <w:ind w:hanging="2"/>
        <w:rPr>
          <w:rFonts w:ascii="Calibri" w:cs="Calibri" w:eastAsia="Calibri" w:hAnsi="Calibri"/>
          <w:b w:val="1"/>
        </w:rPr>
      </w:pPr>
      <w:r w:rsidDel="00000000" w:rsidR="00000000" w:rsidRPr="00000000">
        <w:rPr>
          <w:rFonts w:ascii="Calibri" w:cs="Calibri" w:eastAsia="Calibri" w:hAnsi="Calibri"/>
          <w:b w:val="1"/>
          <w:rtl w:val="0"/>
        </w:rPr>
        <w:t xml:space="preserve">Monitoring and progress control, including reporting requirements, periodicity format and deadline:</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Monitoring and progress control will be done by office of First Deputy Minister MOH and UNFPA through regular formal and informal communication and working meetings with the expert and. </w:t>
      </w:r>
    </w:p>
    <w:p w:rsidR="00000000" w:rsidDel="00000000" w:rsidP="00000000" w:rsidRDefault="00000000" w:rsidRPr="00000000" w14:paraId="00000024">
      <w:pPr>
        <w:numPr>
          <w:ilvl w:val="0"/>
          <w:numId w:val="3"/>
        </w:numPr>
        <w:spacing w:line="240" w:lineRule="auto"/>
        <w:ind w:left="720" w:hanging="360"/>
        <w:rPr>
          <w:highlight w:val="white"/>
        </w:rPr>
      </w:pPr>
      <w:r w:rsidDel="00000000" w:rsidR="00000000" w:rsidRPr="00000000">
        <w:rPr>
          <w:rFonts w:ascii="Calibri" w:cs="Calibri" w:eastAsia="Calibri" w:hAnsi="Calibri"/>
          <w:rtl w:val="0"/>
        </w:rPr>
        <w:t xml:space="preserve">All written communications from the consultant should be addressed to </w:t>
      </w:r>
      <w:hyperlink r:id="rId7">
        <w:r w:rsidDel="00000000" w:rsidR="00000000" w:rsidRPr="00000000">
          <w:rPr>
            <w:rFonts w:ascii="Calibri" w:cs="Calibri" w:eastAsia="Calibri" w:hAnsi="Calibri"/>
            <w:color w:val="1155cc"/>
            <w:u w:val="single"/>
            <w:rtl w:val="0"/>
          </w:rPr>
          <w:t xml:space="preserve">pidverbetskyy@unfpa.org</w:t>
        </w:r>
      </w:hyperlink>
      <w:r w:rsidDel="00000000" w:rsidR="00000000" w:rsidRPr="00000000">
        <w:rPr>
          <w:rFonts w:ascii="Calibri" w:cs="Calibri" w:eastAsia="Calibri" w:hAnsi="Calibri"/>
          <w:rtl w:val="0"/>
        </w:rPr>
        <w:t xml:space="preserve"> ; </w:t>
      </w:r>
      <w:hyperlink r:id="rId8">
        <w:r w:rsidDel="00000000" w:rsidR="00000000" w:rsidRPr="00000000">
          <w:rPr>
            <w:rFonts w:ascii="Calibri" w:cs="Calibri" w:eastAsia="Calibri" w:hAnsi="Calibri"/>
            <w:color w:val="1155cc"/>
            <w:u w:val="single"/>
            <w:rtl w:val="0"/>
          </w:rPr>
          <w:t xml:space="preserve">roganova@unfpa.org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5">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26">
      <w:pPr>
        <w:tabs>
          <w:tab w:val="left" w:leader="none" w:pos="-720"/>
        </w:tabs>
        <w:spacing w:after="54" w:before="40" w:line="240" w:lineRule="auto"/>
        <w:ind w:hanging="2"/>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Supervisory arrangements: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Expert will report directly to:</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1) First Deputy Minister of Health who is responsible for daily management of exert work and accepting of their work products/outputs;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2) UNFPA program manager Bohdan Pidverbetskyy who will accept and process agreed on payments based on the letter of acceptance issues by MOH.</w:t>
      </w:r>
      <w:r w:rsidDel="00000000" w:rsidR="00000000" w:rsidRPr="00000000">
        <w:rPr>
          <w:rtl w:val="0"/>
        </w:rPr>
      </w:r>
    </w:p>
    <w:p w:rsidR="00000000" w:rsidDel="00000000" w:rsidP="00000000" w:rsidRDefault="00000000" w:rsidRPr="00000000" w14:paraId="0000002A">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tabs>
          <w:tab w:val="left" w:leader="none" w:pos="-720"/>
        </w:tabs>
        <w:spacing w:after="54" w:before="40" w:line="240" w:lineRule="auto"/>
        <w:ind w:hanging="2"/>
        <w:rPr>
          <w:rFonts w:ascii="Calibri" w:cs="Calibri" w:eastAsia="Calibri" w:hAnsi="Calibri"/>
          <w:b w:val="1"/>
        </w:rPr>
      </w:pPr>
      <w:r w:rsidDel="00000000" w:rsidR="00000000" w:rsidRPr="00000000">
        <w:rPr>
          <w:rFonts w:ascii="Calibri" w:cs="Calibri" w:eastAsia="Calibri" w:hAnsi="Calibri"/>
          <w:b w:val="1"/>
          <w:rtl w:val="0"/>
        </w:rPr>
        <w:t xml:space="preserve">Expected travel: </w:t>
      </w:r>
      <w:r w:rsidDel="00000000" w:rsidR="00000000" w:rsidRPr="00000000">
        <w:rPr>
          <w:rFonts w:ascii="Calibri" w:cs="Calibri" w:eastAsia="Calibri" w:hAnsi="Calibri"/>
          <w:rtl w:val="0"/>
        </w:rPr>
        <w:t xml:space="preserve">limited national travel might be expected within the consultancy</w:t>
      </w:r>
      <w:r w:rsidDel="00000000" w:rsidR="00000000" w:rsidRPr="00000000">
        <w:rPr>
          <w:rtl w:val="0"/>
        </w:rPr>
      </w:r>
    </w:p>
    <w:p w:rsidR="00000000" w:rsidDel="00000000" w:rsidP="00000000" w:rsidRDefault="00000000" w:rsidRPr="00000000" w14:paraId="0000002C">
      <w:pPr>
        <w:tabs>
          <w:tab w:val="left" w:leader="none" w:pos="-720"/>
        </w:tabs>
        <w:spacing w:after="54" w:before="40"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tabs>
          <w:tab w:val="left" w:leader="none" w:pos="-720"/>
        </w:tabs>
        <w:spacing w:after="54" w:before="40" w:line="240" w:lineRule="auto"/>
        <w:ind w:hanging="2"/>
        <w:rPr>
          <w:rFonts w:ascii="Calibri" w:cs="Calibri" w:eastAsia="Calibri" w:hAnsi="Calibri"/>
          <w:b w:val="1"/>
        </w:rPr>
      </w:pPr>
      <w:r w:rsidDel="00000000" w:rsidR="00000000" w:rsidRPr="00000000">
        <w:rPr>
          <w:rFonts w:ascii="Calibri" w:cs="Calibri" w:eastAsia="Calibri" w:hAnsi="Calibri"/>
          <w:b w:val="1"/>
          <w:rtl w:val="0"/>
        </w:rPr>
        <w:t xml:space="preserve">Required expertise, qualifications and competencies, including language requirements:</w:t>
      </w:r>
    </w:p>
    <w:p w:rsidR="00000000" w:rsidDel="00000000" w:rsidP="00000000" w:rsidRDefault="00000000" w:rsidRPr="00000000" w14:paraId="0000002E">
      <w:pPr>
        <w:tabs>
          <w:tab w:val="left" w:leader="none" w:pos="-720"/>
        </w:tabs>
        <w:spacing w:after="54" w:before="40" w:line="240" w:lineRule="auto"/>
        <w:ind w:hanging="2"/>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Education, experience, and skills:</w:t>
      </w:r>
    </w:p>
    <w:p w:rsidR="00000000" w:rsidDel="00000000" w:rsidP="00000000" w:rsidRDefault="00000000" w:rsidRPr="00000000" w14:paraId="0000002F">
      <w:pPr>
        <w:tabs>
          <w:tab w:val="left" w:leader="none" w:pos="-720"/>
        </w:tabs>
        <w:spacing w:after="54" w:before="40" w:line="240" w:lineRule="auto"/>
        <w:ind w:hanging="2"/>
        <w:rPr>
          <w:rFonts w:ascii="Calibri" w:cs="Calibri" w:eastAsia="Calibri" w:hAnsi="Calibri"/>
          <w:i w:val="1"/>
        </w:rPr>
      </w:pPr>
      <w:r w:rsidDel="00000000" w:rsidR="00000000" w:rsidRPr="00000000">
        <w:rPr>
          <w:rFonts w:ascii="Calibri" w:cs="Calibri" w:eastAsia="Calibri" w:hAnsi="Calibri"/>
          <w:i w:val="1"/>
          <w:rtl w:val="0"/>
        </w:rPr>
        <w:t xml:space="preserve">Legal expert</w:t>
      </w:r>
    </w:p>
    <w:p w:rsidR="00000000" w:rsidDel="00000000" w:rsidP="00000000" w:rsidRDefault="00000000" w:rsidRPr="00000000" w14:paraId="00000030">
      <w:pPr>
        <w:numPr>
          <w:ilvl w:val="0"/>
          <w:numId w:val="8"/>
        </w:numPr>
        <w:tabs>
          <w:tab w:val="left" w:leader="none" w:pos="-720"/>
        </w:tabs>
        <w:spacing w:before="40"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Law Degree or Master Degree in Public health, MD;</w:t>
      </w:r>
    </w:p>
    <w:p w:rsidR="00000000" w:rsidDel="00000000" w:rsidP="00000000" w:rsidRDefault="00000000" w:rsidRPr="00000000" w14:paraId="00000031">
      <w:pPr>
        <w:numPr>
          <w:ilvl w:val="0"/>
          <w:numId w:val="8"/>
        </w:numPr>
        <w:tabs>
          <w:tab w:val="left" w:leader="none" w:pos="-720"/>
        </w:tabs>
        <w:spacing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3+ years of experience work with policy and legal documents;</w:t>
      </w:r>
    </w:p>
    <w:p w:rsidR="00000000" w:rsidDel="00000000" w:rsidP="00000000" w:rsidRDefault="00000000" w:rsidRPr="00000000" w14:paraId="00000032">
      <w:pPr>
        <w:numPr>
          <w:ilvl w:val="0"/>
          <w:numId w:val="8"/>
        </w:numPr>
        <w:tabs>
          <w:tab w:val="left" w:leader="none" w:pos="-720"/>
        </w:tabs>
        <w:spacing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Previous experience of work with MOH, PH Center, NHS;</w:t>
      </w:r>
    </w:p>
    <w:p w:rsidR="00000000" w:rsidDel="00000000" w:rsidP="00000000" w:rsidRDefault="00000000" w:rsidRPr="00000000" w14:paraId="00000033">
      <w:pPr>
        <w:numPr>
          <w:ilvl w:val="0"/>
          <w:numId w:val="8"/>
        </w:numPr>
        <w:tabs>
          <w:tab w:val="left" w:leader="none" w:pos="-720"/>
        </w:tabs>
        <w:spacing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Knowledge and expertise in the field of prevention and counteraction to domestic and gender-based violence is an advantage;</w:t>
      </w:r>
    </w:p>
    <w:p w:rsidR="00000000" w:rsidDel="00000000" w:rsidP="00000000" w:rsidRDefault="00000000" w:rsidRPr="00000000" w14:paraId="00000034">
      <w:pPr>
        <w:numPr>
          <w:ilvl w:val="0"/>
          <w:numId w:val="8"/>
        </w:numPr>
        <w:tabs>
          <w:tab w:val="left" w:leader="none" w:pos="-720"/>
        </w:tabs>
        <w:spacing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Expert level of knowledge and understanding of Health care system in Ukraine, good connections with healthcare authorities and practitioners at the central and regional level; </w:t>
      </w:r>
    </w:p>
    <w:p w:rsidR="00000000" w:rsidDel="00000000" w:rsidP="00000000" w:rsidRDefault="00000000" w:rsidRPr="00000000" w14:paraId="00000035">
      <w:pPr>
        <w:numPr>
          <w:ilvl w:val="0"/>
          <w:numId w:val="8"/>
        </w:numPr>
        <w:tabs>
          <w:tab w:val="left" w:leader="none" w:pos="-720"/>
        </w:tabs>
        <w:spacing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Excellent writing and communication skills.</w:t>
      </w:r>
    </w:p>
    <w:p w:rsidR="00000000" w:rsidDel="00000000" w:rsidP="00000000" w:rsidRDefault="00000000" w:rsidRPr="00000000" w14:paraId="00000036">
      <w:pPr>
        <w:numPr>
          <w:ilvl w:val="0"/>
          <w:numId w:val="8"/>
        </w:numPr>
        <w:tabs>
          <w:tab w:val="left" w:leader="none" w:pos="-720"/>
        </w:tabs>
        <w:spacing w:after="160" w:line="259" w:lineRule="auto"/>
        <w:ind w:left="718" w:hanging="360"/>
        <w:rPr>
          <w:rFonts w:ascii="Calibri" w:cs="Calibri" w:eastAsia="Calibri" w:hAnsi="Calibri"/>
        </w:rPr>
      </w:pPr>
      <w:r w:rsidDel="00000000" w:rsidR="00000000" w:rsidRPr="00000000">
        <w:rPr>
          <w:rFonts w:ascii="Calibri" w:cs="Calibri" w:eastAsia="Calibri" w:hAnsi="Calibri"/>
          <w:rtl w:val="0"/>
        </w:rPr>
        <w:t xml:space="preserve">Excellent analytical skills and attention to detail.</w:t>
      </w:r>
      <w:r w:rsidDel="00000000" w:rsidR="00000000" w:rsidRPr="00000000">
        <w:rPr>
          <w:rtl w:val="0"/>
        </w:rPr>
      </w:r>
    </w:p>
    <w:p w:rsidR="00000000" w:rsidDel="00000000" w:rsidP="00000000" w:rsidRDefault="00000000" w:rsidRPr="00000000" w14:paraId="00000037">
      <w:pPr>
        <w:tabs>
          <w:tab w:val="left" w:leader="none" w:pos="-720"/>
        </w:tabs>
        <w:spacing w:after="54" w:before="40" w:line="240" w:lineRule="auto"/>
        <w:ind w:hanging="2"/>
        <w:rPr>
          <w:rFonts w:ascii="Calibri" w:cs="Calibri" w:eastAsia="Calibri" w:hAnsi="Calibri"/>
          <w:b w:val="1"/>
        </w:rPr>
      </w:pPr>
      <w:r w:rsidDel="00000000" w:rsidR="00000000" w:rsidRPr="00000000">
        <w:rPr>
          <w:rFonts w:ascii="Calibri" w:cs="Calibri" w:eastAsia="Calibri" w:hAnsi="Calibri"/>
          <w:b w:val="1"/>
          <w:rtl w:val="0"/>
        </w:rPr>
        <w:t xml:space="preserve">Other relevant information:</w:t>
      </w:r>
    </w:p>
    <w:p w:rsidR="00000000" w:rsidDel="00000000" w:rsidP="00000000" w:rsidRDefault="00000000" w:rsidRPr="00000000" w14:paraId="00000038">
      <w:pPr>
        <w:tabs>
          <w:tab w:val="left" w:leader="none" w:pos="-720"/>
        </w:tabs>
        <w:spacing w:after="54" w:before="40"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The consultancy fee will be paid monthly upon UNFPA's approval of the Consultant's monthly report and developed/reviewed documents. </w:t>
      </w:r>
    </w:p>
    <w:p w:rsidR="00000000" w:rsidDel="00000000" w:rsidP="00000000" w:rsidRDefault="00000000" w:rsidRPr="00000000" w14:paraId="00000039">
      <w:pPr>
        <w:tabs>
          <w:tab w:val="left" w:leader="none" w:pos="-720"/>
        </w:tabs>
        <w:spacing w:after="54" w:before="40"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Any remarks, proposals, complaints, or claims to the consultant regarding services being provided in line with these terms of reference should be submitted to the consultant in writing within 10 days of the submission of consultancy deliverables or reports by the consultant.</w:t>
      </w:r>
    </w:p>
    <w:p w:rsidR="00000000" w:rsidDel="00000000" w:rsidP="00000000" w:rsidRDefault="00000000" w:rsidRPr="00000000" w14:paraId="0000003A">
      <w:pPr>
        <w:tabs>
          <w:tab w:val="left" w:leader="none" w:pos="-720"/>
        </w:tabs>
        <w:spacing w:after="54" w:before="40" w:line="240" w:lineRule="auto"/>
        <w:ind w:hanging="2"/>
        <w:jc w:val="both"/>
        <w:rPr>
          <w:rFonts w:ascii="Calibri" w:cs="Calibri" w:eastAsia="Calibri" w:hAnsi="Calibri"/>
          <w:b w:val="1"/>
        </w:rPr>
      </w:pPr>
      <w:r w:rsidDel="00000000" w:rsidR="00000000" w:rsidRPr="00000000">
        <w:rPr>
          <w:rFonts w:ascii="Calibri" w:cs="Calibri" w:eastAsia="Calibri" w:hAnsi="Calibri"/>
          <w:rtl w:val="0"/>
        </w:rPr>
        <w:t xml:space="preserve">The scope of work to be performed by the consultants under these terms of reference and other conditions of the consultancy could be modified, if required, through a written agreement between the consultant and UNFPA.</w:t>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20"/>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Application Process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consultant will be identified via open-call competitive selection process.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To be considered for the role, one needs to submit to </w:t>
      </w:r>
      <w:r w:rsidDel="00000000" w:rsidR="00000000" w:rsidRPr="00000000">
        <w:rPr>
          <w:rFonts w:ascii="Calibri" w:cs="Calibri" w:eastAsia="Calibri" w:hAnsi="Calibri"/>
          <w:u w:val="single"/>
          <w:rtl w:val="0"/>
        </w:rPr>
        <w:t xml:space="preserve">ukraine.office@unfpa.org</w:t>
      </w:r>
      <w:r w:rsidDel="00000000" w:rsidR="00000000" w:rsidRPr="00000000">
        <w:rPr>
          <w:rFonts w:ascii="Calibri" w:cs="Calibri" w:eastAsia="Calibri" w:hAnsi="Calibri"/>
          <w:rtl w:val="0"/>
        </w:rPr>
        <w:t xml:space="preserve"> by </w:t>
      </w:r>
      <w:commentRangeStart w:id="0"/>
      <w:r w:rsidDel="00000000" w:rsidR="00000000" w:rsidRPr="00000000">
        <w:rPr>
          <w:rFonts w:ascii="Calibri" w:cs="Calibri" w:eastAsia="Calibri" w:hAnsi="Calibri"/>
          <w:highlight w:val="yellow"/>
          <w:rtl w:val="0"/>
        </w:rPr>
        <w:t xml:space="preserve">26</w:t>
      </w:r>
      <w:r w:rsidDel="00000000" w:rsidR="00000000" w:rsidRPr="00000000">
        <w:rPr>
          <w:rFonts w:ascii="Calibri" w:cs="Calibri" w:eastAsia="Calibri" w:hAnsi="Calibri"/>
          <w:b w:val="1"/>
          <w:highlight w:val="yellow"/>
          <w:rtl w:val="0"/>
        </w:rPr>
        <w:t xml:space="preserve"> April 2023</w:t>
      </w:r>
      <w:commentRangeEnd w:id="0"/>
      <w:r w:rsidDel="00000000" w:rsidR="00000000" w:rsidRPr="00000000">
        <w:commentReference w:id="0"/>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 application comprised of the following documents:</w:t>
      </w:r>
    </w:p>
    <w:p w:rsidR="00000000" w:rsidDel="00000000" w:rsidP="00000000" w:rsidRDefault="00000000" w:rsidRPr="00000000" w14:paraId="0000003E">
      <w:pPr>
        <w:numPr>
          <w:ilvl w:val="0"/>
          <w:numId w:val="1"/>
        </w:numPr>
        <w:pBdr>
          <w:top w:color="auto" w:space="0" w:sz="0" w:val="none"/>
          <w:bottom w:color="auto" w:space="7" w:sz="0" w:val="none"/>
          <w:right w:color="auto" w:space="0" w:sz="0" w:val="none"/>
        </w:pBdr>
        <w:shd w:fill="ffffff" w:val="clear"/>
        <w:tabs>
          <w:tab w:val="left" w:leader="none" w:pos="-720"/>
        </w:tabs>
        <w:spacing w:line="240" w:lineRule="auto"/>
        <w:ind w:left="740" w:hanging="360"/>
        <w:jc w:val="both"/>
        <w:rPr>
          <w:rFonts w:ascii="Calibri" w:cs="Calibri" w:eastAsia="Calibri" w:hAnsi="Calibri"/>
          <w:color w:val="000000"/>
          <w:sz w:val="22"/>
          <w:szCs w:val="22"/>
        </w:rPr>
      </w:pPr>
      <w:r w:rsidDel="00000000" w:rsidR="00000000" w:rsidRPr="00000000">
        <w:rPr>
          <w:rFonts w:ascii="Calibri" w:cs="Calibri" w:eastAsia="Calibri" w:hAnsi="Calibri"/>
          <w:rtl w:val="0"/>
        </w:rPr>
        <w:t xml:space="preserve">Professional CV;</w:t>
      </w:r>
    </w:p>
    <w:p w:rsidR="00000000" w:rsidDel="00000000" w:rsidP="00000000" w:rsidRDefault="00000000" w:rsidRPr="00000000" w14:paraId="0000003F">
      <w:pPr>
        <w:numPr>
          <w:ilvl w:val="0"/>
          <w:numId w:val="1"/>
        </w:numPr>
        <w:pBdr>
          <w:top w:color="auto" w:space="0" w:sz="0" w:val="none"/>
          <w:bottom w:color="auto" w:space="7" w:sz="0" w:val="none"/>
          <w:right w:color="auto" w:space="0" w:sz="0" w:val="none"/>
        </w:pBdr>
        <w:shd w:fill="ffffff" w:val="clear"/>
        <w:tabs>
          <w:tab w:val="left" w:leader="none" w:pos="-720"/>
        </w:tabs>
        <w:spacing w:line="240" w:lineRule="auto"/>
        <w:ind w:left="740" w:hanging="360"/>
        <w:jc w:val="both"/>
        <w:rPr>
          <w:rFonts w:ascii="Calibri" w:cs="Calibri" w:eastAsia="Calibri" w:hAnsi="Calibri"/>
          <w:color w:val="000000"/>
          <w:sz w:val="22"/>
          <w:szCs w:val="22"/>
        </w:rPr>
      </w:pPr>
      <w:r w:rsidDel="00000000" w:rsidR="00000000" w:rsidRPr="00000000">
        <w:rPr>
          <w:rFonts w:ascii="Calibri" w:cs="Calibri" w:eastAsia="Calibri" w:hAnsi="Calibri"/>
          <w:rtl w:val="0"/>
        </w:rPr>
        <w:t xml:space="preserve">Motivation letter.</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20"/>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Only complete applications received by the deadline will be evaluated.</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20"/>
        </w:tabs>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 the subject of the letter, please state: Legal Expert Consultant</w:t>
      </w:r>
      <w:r w:rsidDel="00000000" w:rsidR="00000000" w:rsidRPr="00000000">
        <w:rPr>
          <w:rtl w:val="0"/>
        </w:rPr>
      </w:r>
    </w:p>
    <w:p w:rsidR="00000000" w:rsidDel="00000000" w:rsidP="00000000" w:rsidRDefault="00000000" w:rsidRPr="00000000" w14:paraId="00000042">
      <w:pPr>
        <w:tabs>
          <w:tab w:val="left" w:leader="none" w:pos="-720"/>
        </w:tabs>
        <w:spacing w:after="54" w:before="40" w:line="240" w:lineRule="auto"/>
        <w:ind w:hanging="2"/>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ksym Liushan" w:id="0" w:date="2024-03-12T12:06:14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days from the announcement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58585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pidverbetskyy@unfpa.org" TargetMode="External"/><Relationship Id="rId8" Type="http://schemas.openxmlformats.org/officeDocument/2006/relationships/hyperlink" Target="mailto:roganova@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