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10" w:rsidRPr="00D03C6F" w:rsidRDefault="00BD06BF" w:rsidP="00BD06BF">
      <w:pPr>
        <w:jc w:val="center"/>
        <w:rPr>
          <w:rFonts w:ascii="Calibri" w:hAnsi="Calibri" w:cs="Calibri"/>
          <w:sz w:val="22"/>
          <w:szCs w:val="22"/>
          <w:lang w:val="uk-UA"/>
        </w:rPr>
      </w:pPr>
      <w:bookmarkStart w:id="0" w:name="_GoBack"/>
      <w:bookmarkEnd w:id="0"/>
      <w:r>
        <w:rPr>
          <w:rFonts w:ascii="Calibri" w:eastAsia="Calibri" w:hAnsi="Calibri" w:cs="Calibri"/>
          <w:b/>
          <w:sz w:val="22"/>
          <w:szCs w:val="22"/>
        </w:rPr>
        <w:t>National</w:t>
      </w:r>
      <w:r w:rsidR="00080844">
        <w:rPr>
          <w:rFonts w:ascii="Calibri" w:eastAsia="Calibri" w:hAnsi="Calibri" w:cs="Calibri"/>
          <w:b/>
          <w:sz w:val="22"/>
          <w:szCs w:val="22"/>
        </w:rPr>
        <w:t xml:space="preserve"> Consultant </w:t>
      </w:r>
      <w:r>
        <w:rPr>
          <w:rFonts w:ascii="Calibri" w:eastAsia="Calibri" w:hAnsi="Calibri" w:cs="Calibri"/>
          <w:b/>
          <w:sz w:val="22"/>
          <w:szCs w:val="22"/>
        </w:rPr>
        <w:t xml:space="preserve">to develop </w:t>
      </w:r>
      <w:r w:rsidRPr="00C17D98">
        <w:rPr>
          <w:rFonts w:ascii="Calibri" w:eastAsia="Calibri" w:hAnsi="Calibri" w:cs="Calibri"/>
          <w:b/>
          <w:sz w:val="22"/>
          <w:szCs w:val="22"/>
        </w:rPr>
        <w:t>the handbook on provision of effective employability support to GBV survivors</w:t>
      </w:r>
    </w:p>
    <w:p w:rsidR="00BD06BF" w:rsidRDefault="00BD06BF" w:rsidP="00BD06BF">
      <w:pPr>
        <w:jc w:val="center"/>
        <w:rPr>
          <w:rFonts w:ascii="Calibri" w:hAnsi="Calibri" w:cs="Calibri"/>
          <w:b/>
          <w:sz w:val="22"/>
          <w:szCs w:val="22"/>
          <w:lang w:val="en-US"/>
        </w:rPr>
      </w:pPr>
    </w:p>
    <w:p w:rsidR="004E3B9A" w:rsidRPr="00BD06BF" w:rsidRDefault="00D14C10" w:rsidP="00BD06BF">
      <w:pPr>
        <w:jc w:val="center"/>
        <w:rPr>
          <w:rFonts w:ascii="Calibri" w:hAnsi="Calibri" w:cs="Calibri"/>
          <w:i/>
          <w:sz w:val="22"/>
          <w:szCs w:val="22"/>
          <w:u w:val="single"/>
          <w:lang w:val="en-US"/>
        </w:rPr>
      </w:pPr>
      <w:r w:rsidRPr="00BD06BF">
        <w:rPr>
          <w:rFonts w:ascii="Calibri" w:hAnsi="Calibri" w:cs="Calibri"/>
          <w:i/>
          <w:sz w:val="22"/>
          <w:szCs w:val="22"/>
          <w:u w:val="single"/>
          <w:lang w:val="en-US"/>
        </w:rPr>
        <w:t>Estimation of cost of services</w:t>
      </w:r>
    </w:p>
    <w:p w:rsidR="004E3B9A" w:rsidRPr="00D03C6F" w:rsidRDefault="004E3B9A" w:rsidP="00E670C3">
      <w:pPr>
        <w:rPr>
          <w:rFonts w:ascii="Calibri" w:hAnsi="Calibri" w:cs="Calibri"/>
          <w:sz w:val="22"/>
          <w:szCs w:val="22"/>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829"/>
        <w:gridCol w:w="1128"/>
        <w:gridCol w:w="1075"/>
        <w:gridCol w:w="1134"/>
        <w:gridCol w:w="1199"/>
      </w:tblGrid>
      <w:tr w:rsidR="00F57F3D" w:rsidRPr="00D03C6F" w:rsidTr="0024067E">
        <w:tc>
          <w:tcPr>
            <w:tcW w:w="524" w:type="dxa"/>
            <w:shd w:val="clear" w:color="auto" w:fill="auto"/>
          </w:tcPr>
          <w:p w:rsidR="004E3B9A" w:rsidRPr="00D03C6F" w:rsidRDefault="004E3B9A" w:rsidP="00E670C3">
            <w:pPr>
              <w:rPr>
                <w:rFonts w:ascii="Calibri" w:hAnsi="Calibri" w:cs="Calibri"/>
                <w:b/>
                <w:i/>
                <w:sz w:val="22"/>
                <w:szCs w:val="22"/>
                <w:lang w:val="uk-UA"/>
              </w:rPr>
            </w:pPr>
          </w:p>
        </w:tc>
        <w:tc>
          <w:tcPr>
            <w:tcW w:w="4829" w:type="dxa"/>
            <w:shd w:val="clear" w:color="auto" w:fill="auto"/>
          </w:tcPr>
          <w:p w:rsidR="004E3B9A" w:rsidRPr="00D14C10" w:rsidRDefault="00D14C10" w:rsidP="00E670C3">
            <w:pPr>
              <w:rPr>
                <w:rFonts w:ascii="Calibri" w:hAnsi="Calibri" w:cs="Calibri"/>
                <w:b/>
                <w:i/>
                <w:sz w:val="22"/>
                <w:szCs w:val="22"/>
                <w:lang w:val="en-US"/>
              </w:rPr>
            </w:pPr>
            <w:r>
              <w:rPr>
                <w:rFonts w:ascii="Calibri" w:hAnsi="Calibri" w:cs="Calibri"/>
                <w:b/>
                <w:i/>
                <w:sz w:val="22"/>
                <w:szCs w:val="22"/>
                <w:lang w:val="en-US"/>
              </w:rPr>
              <w:t>Deliverables</w:t>
            </w:r>
          </w:p>
        </w:tc>
        <w:tc>
          <w:tcPr>
            <w:tcW w:w="1128" w:type="dxa"/>
            <w:shd w:val="clear" w:color="auto" w:fill="auto"/>
          </w:tcPr>
          <w:p w:rsidR="004E3B9A" w:rsidRPr="00D14C10" w:rsidRDefault="00D14C10" w:rsidP="00E670C3">
            <w:pPr>
              <w:rPr>
                <w:rFonts w:ascii="Calibri" w:hAnsi="Calibri" w:cs="Calibri"/>
                <w:b/>
                <w:i/>
                <w:sz w:val="22"/>
                <w:szCs w:val="22"/>
                <w:lang w:val="uk-UA"/>
              </w:rPr>
            </w:pPr>
            <w:r>
              <w:rPr>
                <w:rFonts w:ascii="Calibri" w:hAnsi="Calibri" w:cs="Calibri"/>
                <w:b/>
                <w:i/>
                <w:sz w:val="22"/>
                <w:szCs w:val="22"/>
                <w:lang w:val="en-US"/>
              </w:rPr>
              <w:t>Unit</w:t>
            </w:r>
          </w:p>
        </w:tc>
        <w:tc>
          <w:tcPr>
            <w:tcW w:w="1075" w:type="dxa"/>
            <w:shd w:val="clear" w:color="auto" w:fill="auto"/>
          </w:tcPr>
          <w:p w:rsidR="004E3B9A" w:rsidRPr="00D03C6F" w:rsidRDefault="00D14C10" w:rsidP="00E670C3">
            <w:pPr>
              <w:rPr>
                <w:rFonts w:ascii="Calibri" w:hAnsi="Calibri" w:cs="Calibri"/>
                <w:b/>
                <w:i/>
                <w:sz w:val="22"/>
                <w:szCs w:val="22"/>
                <w:lang w:val="uk-UA"/>
              </w:rPr>
            </w:pPr>
            <w:r>
              <w:rPr>
                <w:rFonts w:ascii="Calibri" w:hAnsi="Calibri" w:cs="Calibri"/>
                <w:b/>
                <w:i/>
                <w:sz w:val="22"/>
                <w:szCs w:val="22"/>
                <w:lang w:val="en-US"/>
              </w:rPr>
              <w:t>Number of units</w:t>
            </w:r>
            <w:r w:rsidR="00284653" w:rsidRPr="00D03C6F">
              <w:rPr>
                <w:rFonts w:ascii="Calibri" w:hAnsi="Calibri" w:cs="Calibri"/>
                <w:b/>
                <w:i/>
                <w:sz w:val="22"/>
                <w:szCs w:val="22"/>
                <w:lang w:val="uk-UA"/>
              </w:rPr>
              <w:t xml:space="preserve"> </w:t>
            </w:r>
            <w:r w:rsidR="004E3B9A" w:rsidRPr="00D03C6F">
              <w:rPr>
                <w:rFonts w:ascii="Calibri" w:hAnsi="Calibri" w:cs="Calibri"/>
                <w:b/>
                <w:i/>
                <w:sz w:val="22"/>
                <w:szCs w:val="22"/>
                <w:lang w:val="uk-UA"/>
              </w:rPr>
              <w:t xml:space="preserve"> </w:t>
            </w:r>
          </w:p>
        </w:tc>
        <w:tc>
          <w:tcPr>
            <w:tcW w:w="1134" w:type="dxa"/>
            <w:shd w:val="clear" w:color="auto" w:fill="auto"/>
          </w:tcPr>
          <w:p w:rsidR="004E3B9A" w:rsidRPr="00D03C6F" w:rsidRDefault="00D14C10" w:rsidP="00E670C3">
            <w:pPr>
              <w:rPr>
                <w:rFonts w:ascii="Calibri" w:hAnsi="Calibri" w:cs="Calibri"/>
                <w:b/>
                <w:i/>
                <w:sz w:val="22"/>
                <w:szCs w:val="22"/>
                <w:lang w:val="uk-UA"/>
              </w:rPr>
            </w:pPr>
            <w:r>
              <w:rPr>
                <w:rFonts w:ascii="Calibri" w:hAnsi="Calibri" w:cs="Calibri"/>
                <w:b/>
                <w:i/>
                <w:sz w:val="22"/>
                <w:szCs w:val="22"/>
                <w:lang w:val="en-US"/>
              </w:rPr>
              <w:t>Cost of units</w:t>
            </w:r>
            <w:r w:rsidR="004E3B9A" w:rsidRPr="00D03C6F">
              <w:rPr>
                <w:rFonts w:ascii="Calibri" w:hAnsi="Calibri" w:cs="Calibri"/>
                <w:b/>
                <w:i/>
                <w:sz w:val="22"/>
                <w:szCs w:val="22"/>
                <w:lang w:val="uk-UA"/>
              </w:rPr>
              <w:t>, UDS</w:t>
            </w:r>
          </w:p>
        </w:tc>
        <w:tc>
          <w:tcPr>
            <w:tcW w:w="1199" w:type="dxa"/>
            <w:shd w:val="clear" w:color="auto" w:fill="auto"/>
          </w:tcPr>
          <w:p w:rsidR="004E3B9A" w:rsidRPr="00D03C6F" w:rsidRDefault="00284653" w:rsidP="00D14C10">
            <w:pPr>
              <w:rPr>
                <w:rFonts w:ascii="Calibri" w:hAnsi="Calibri" w:cs="Calibri"/>
                <w:b/>
                <w:i/>
                <w:sz w:val="22"/>
                <w:szCs w:val="22"/>
                <w:lang w:val="uk-UA"/>
              </w:rPr>
            </w:pPr>
            <w:r w:rsidRPr="00D03C6F">
              <w:rPr>
                <w:rFonts w:ascii="Calibri" w:hAnsi="Calibri" w:cs="Calibri"/>
                <w:b/>
                <w:i/>
                <w:sz w:val="22"/>
                <w:szCs w:val="22"/>
                <w:lang w:val="uk-UA"/>
              </w:rPr>
              <w:t xml:space="preserve"> </w:t>
            </w:r>
            <w:r w:rsidR="00D14C10">
              <w:rPr>
                <w:rFonts w:ascii="Calibri" w:hAnsi="Calibri" w:cs="Calibri"/>
                <w:b/>
                <w:i/>
                <w:sz w:val="22"/>
                <w:szCs w:val="22"/>
                <w:lang w:val="en-US"/>
              </w:rPr>
              <w:t>The total cost</w:t>
            </w:r>
            <w:r w:rsidR="004E3B9A" w:rsidRPr="00D03C6F">
              <w:rPr>
                <w:rFonts w:ascii="Calibri" w:hAnsi="Calibri" w:cs="Calibri"/>
                <w:b/>
                <w:i/>
                <w:sz w:val="22"/>
                <w:szCs w:val="22"/>
                <w:lang w:val="uk-UA"/>
              </w:rPr>
              <w:t xml:space="preserve">, USD </w:t>
            </w:r>
          </w:p>
        </w:tc>
      </w:tr>
      <w:tr w:rsidR="00F57F3D" w:rsidRPr="00D03C6F" w:rsidTr="0024067E">
        <w:tc>
          <w:tcPr>
            <w:tcW w:w="524" w:type="dxa"/>
            <w:shd w:val="clear" w:color="auto" w:fill="auto"/>
          </w:tcPr>
          <w:p w:rsidR="004E3B9A" w:rsidRPr="00D03C6F" w:rsidRDefault="004E3B9A" w:rsidP="00E670C3">
            <w:pPr>
              <w:rPr>
                <w:rFonts w:ascii="Calibri" w:hAnsi="Calibri" w:cs="Calibri"/>
                <w:sz w:val="22"/>
                <w:szCs w:val="22"/>
                <w:lang w:val="uk-UA"/>
              </w:rPr>
            </w:pPr>
            <w:r w:rsidRPr="00D03C6F">
              <w:rPr>
                <w:rFonts w:ascii="Calibri" w:hAnsi="Calibri" w:cs="Calibri"/>
                <w:sz w:val="22"/>
                <w:szCs w:val="22"/>
                <w:lang w:val="uk-UA"/>
              </w:rPr>
              <w:t>1</w:t>
            </w:r>
          </w:p>
        </w:tc>
        <w:tc>
          <w:tcPr>
            <w:tcW w:w="4829" w:type="dxa"/>
            <w:shd w:val="clear" w:color="auto" w:fill="auto"/>
          </w:tcPr>
          <w:p w:rsidR="00584814" w:rsidRPr="00584814" w:rsidRDefault="00584814" w:rsidP="00584814">
            <w:pPr>
              <w:suppressAutoHyphens/>
              <w:spacing w:line="1" w:lineRule="atLeast"/>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b/>
                <w:position w:val="-1"/>
                <w:sz w:val="22"/>
                <w:szCs w:val="22"/>
              </w:rPr>
              <w:t>Deliverable 1.</w:t>
            </w:r>
            <w:r w:rsidRPr="00584814">
              <w:rPr>
                <w:rFonts w:ascii="Calibri" w:eastAsia="Calibri" w:hAnsi="Calibri" w:cs="Calibri"/>
                <w:position w:val="-1"/>
                <w:sz w:val="22"/>
                <w:szCs w:val="22"/>
              </w:rPr>
              <w:t xml:space="preserve"> Draft Handbook on provision of effective employability support to GBV survivors. The handbook should include: (1) analysis of relevant for Ukraine best international practices on provision of effective employability support to GBV survivors (at least 2 case studies); and (2) a chapter/section on provision of effective employability support to GBV survivors from most vulnerable groups – women with disabilities, including mental health disabilities, displaced persons, refugees etc. </w:t>
            </w:r>
          </w:p>
          <w:p w:rsidR="00584814" w:rsidRPr="00584814" w:rsidRDefault="00584814" w:rsidP="00584814">
            <w:pPr>
              <w:suppressAutoHyphens/>
              <w:spacing w:line="1" w:lineRule="atLeast"/>
              <w:jc w:val="both"/>
              <w:textDirection w:val="btLr"/>
              <w:textAlignment w:val="top"/>
              <w:outlineLvl w:val="0"/>
              <w:rPr>
                <w:rFonts w:ascii="Calibri" w:eastAsia="Calibri" w:hAnsi="Calibri" w:cs="Calibri"/>
                <w:position w:val="-1"/>
                <w:sz w:val="22"/>
                <w:szCs w:val="22"/>
              </w:rPr>
            </w:pPr>
          </w:p>
          <w:p w:rsidR="00584814" w:rsidRPr="00584814" w:rsidRDefault="00584814" w:rsidP="00584814">
            <w:pPr>
              <w:suppressAutoHyphens/>
              <w:spacing w:line="1" w:lineRule="atLeast"/>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While working on the deliverable, the consultant is expected to learn and factor in needs of specialists, who will be using the handbook, and survivors as beneficiaries of employability support. Specifically, the consultant should conduct in-depth interviews with social workers, specialists of the State Employment Centre and UNFPA Career Hub consultants to:</w:t>
            </w:r>
          </w:p>
          <w:p w:rsidR="00584814" w:rsidRPr="00584814" w:rsidRDefault="00584814" w:rsidP="00584814">
            <w:pPr>
              <w:numPr>
                <w:ilvl w:val="0"/>
                <w:numId w:val="8"/>
              </w:numPr>
              <w:pBdr>
                <w:top w:val="nil"/>
                <w:left w:val="nil"/>
                <w:bottom w:val="nil"/>
                <w:right w:val="nil"/>
                <w:between w:val="nil"/>
              </w:pBdr>
              <w:suppressAutoHyphens/>
              <w:spacing w:line="1" w:lineRule="atLeast"/>
              <w:ind w:leftChars="-1" w:left="0" w:hangingChars="1" w:hanging="2"/>
              <w:contextualSpacing/>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explore their experiences of providing employability support to GBV survivors;</w:t>
            </w:r>
          </w:p>
          <w:p w:rsidR="00584814" w:rsidRPr="00584814" w:rsidRDefault="00584814" w:rsidP="00584814">
            <w:pPr>
              <w:numPr>
                <w:ilvl w:val="0"/>
                <w:numId w:val="8"/>
              </w:numPr>
              <w:pBdr>
                <w:top w:val="nil"/>
                <w:left w:val="nil"/>
                <w:bottom w:val="nil"/>
                <w:right w:val="nil"/>
                <w:between w:val="nil"/>
              </w:pBdr>
              <w:suppressAutoHyphens/>
              <w:spacing w:line="1" w:lineRule="atLeast"/>
              <w:ind w:leftChars="-1" w:left="0" w:hangingChars="1" w:hanging="2"/>
              <w:contextualSpacing/>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identify mechanisms/pathways of employability support provision to GBV survivors;</w:t>
            </w:r>
          </w:p>
          <w:p w:rsidR="00584814" w:rsidRPr="00584814" w:rsidRDefault="00584814" w:rsidP="00584814">
            <w:pPr>
              <w:numPr>
                <w:ilvl w:val="0"/>
                <w:numId w:val="8"/>
              </w:numPr>
              <w:pBdr>
                <w:top w:val="nil"/>
                <w:left w:val="nil"/>
                <w:bottom w:val="nil"/>
                <w:right w:val="nil"/>
                <w:between w:val="nil"/>
              </w:pBdr>
              <w:suppressAutoHyphens/>
              <w:spacing w:line="1" w:lineRule="atLeast"/>
              <w:ind w:leftChars="-1" w:left="0" w:hangingChars="1" w:hanging="2"/>
              <w:contextualSpacing/>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analyse GBV survivors’ experience of receiving employability support;</w:t>
            </w:r>
          </w:p>
          <w:p w:rsidR="00584814" w:rsidRPr="00584814" w:rsidRDefault="00584814" w:rsidP="00584814">
            <w:pPr>
              <w:numPr>
                <w:ilvl w:val="0"/>
                <w:numId w:val="8"/>
              </w:numPr>
              <w:pBdr>
                <w:top w:val="nil"/>
                <w:left w:val="nil"/>
                <w:bottom w:val="nil"/>
                <w:right w:val="nil"/>
                <w:between w:val="nil"/>
              </w:pBdr>
              <w:suppressAutoHyphens/>
              <w:spacing w:line="1" w:lineRule="atLeast"/>
              <w:ind w:leftChars="-1" w:left="0" w:hangingChars="1" w:hanging="2"/>
              <w:contextualSpacing/>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identify gaps in knowledge and skills of specialists that could be addressed by the handbook and lead to improvement of employability assistance to GBV survivors.</w:t>
            </w:r>
          </w:p>
          <w:p w:rsidR="004E3B9A" w:rsidRPr="00584814" w:rsidRDefault="004E3B9A" w:rsidP="00221111">
            <w:pPr>
              <w:spacing w:line="1" w:lineRule="atLeast"/>
              <w:jc w:val="both"/>
              <w:rPr>
                <w:rFonts w:ascii="Calibri" w:eastAsia="Calibri" w:hAnsi="Calibri" w:cs="Calibri"/>
                <w:sz w:val="22"/>
                <w:szCs w:val="22"/>
              </w:rPr>
            </w:pPr>
          </w:p>
        </w:tc>
        <w:tc>
          <w:tcPr>
            <w:tcW w:w="1128" w:type="dxa"/>
            <w:shd w:val="clear" w:color="auto" w:fill="auto"/>
          </w:tcPr>
          <w:p w:rsidR="004E3B9A" w:rsidRPr="00D03C6F" w:rsidRDefault="00D14C10" w:rsidP="00E670C3">
            <w:pPr>
              <w:rPr>
                <w:rFonts w:ascii="Calibri" w:hAnsi="Calibri" w:cs="Calibri"/>
                <w:sz w:val="22"/>
                <w:szCs w:val="22"/>
                <w:lang w:val="uk-UA"/>
              </w:rPr>
            </w:pPr>
            <w:r>
              <w:rPr>
                <w:rFonts w:ascii="Calibri" w:hAnsi="Calibri" w:cs="Calibri"/>
                <w:sz w:val="22"/>
                <w:szCs w:val="22"/>
                <w:lang w:val="en-US"/>
              </w:rPr>
              <w:t>Hour of work</w:t>
            </w:r>
            <w:r w:rsidR="004E3B9A" w:rsidRPr="00D03C6F">
              <w:rPr>
                <w:rFonts w:ascii="Calibri" w:hAnsi="Calibri" w:cs="Calibri"/>
                <w:sz w:val="22"/>
                <w:szCs w:val="22"/>
                <w:lang w:val="uk-UA"/>
              </w:rPr>
              <w:t xml:space="preserve"> </w:t>
            </w:r>
          </w:p>
        </w:tc>
        <w:tc>
          <w:tcPr>
            <w:tcW w:w="1075" w:type="dxa"/>
            <w:shd w:val="clear" w:color="auto" w:fill="auto"/>
          </w:tcPr>
          <w:p w:rsidR="004E3B9A" w:rsidRPr="00D03C6F" w:rsidRDefault="004E3B9A" w:rsidP="00E670C3">
            <w:pPr>
              <w:rPr>
                <w:rFonts w:ascii="Calibri" w:hAnsi="Calibri" w:cs="Calibri"/>
                <w:sz w:val="22"/>
                <w:szCs w:val="22"/>
                <w:lang w:val="uk-UA"/>
              </w:rPr>
            </w:pPr>
          </w:p>
        </w:tc>
        <w:tc>
          <w:tcPr>
            <w:tcW w:w="1134" w:type="dxa"/>
            <w:shd w:val="clear" w:color="auto" w:fill="auto"/>
          </w:tcPr>
          <w:p w:rsidR="004E3B9A" w:rsidRPr="00D03C6F" w:rsidRDefault="004E3B9A" w:rsidP="00E670C3">
            <w:pPr>
              <w:rPr>
                <w:rFonts w:ascii="Calibri" w:hAnsi="Calibri" w:cs="Calibri"/>
                <w:sz w:val="22"/>
                <w:szCs w:val="22"/>
                <w:lang w:val="uk-UA"/>
              </w:rPr>
            </w:pPr>
          </w:p>
        </w:tc>
        <w:tc>
          <w:tcPr>
            <w:tcW w:w="1199" w:type="dxa"/>
            <w:shd w:val="clear" w:color="auto" w:fill="auto"/>
          </w:tcPr>
          <w:p w:rsidR="004E3B9A" w:rsidRPr="00D03C6F" w:rsidRDefault="004E3B9A" w:rsidP="00E670C3">
            <w:pPr>
              <w:rPr>
                <w:rFonts w:ascii="Calibri" w:hAnsi="Calibri" w:cs="Calibri"/>
                <w:sz w:val="22"/>
                <w:szCs w:val="22"/>
                <w:lang w:val="uk-UA"/>
              </w:rPr>
            </w:pPr>
          </w:p>
        </w:tc>
      </w:tr>
      <w:tr w:rsidR="00F57F3D" w:rsidRPr="00D03C6F" w:rsidTr="0024067E">
        <w:tc>
          <w:tcPr>
            <w:tcW w:w="524" w:type="dxa"/>
            <w:shd w:val="clear" w:color="auto" w:fill="auto"/>
          </w:tcPr>
          <w:p w:rsidR="004E3B9A" w:rsidRPr="00D03C6F" w:rsidRDefault="004E3B9A" w:rsidP="00E670C3">
            <w:pPr>
              <w:rPr>
                <w:rFonts w:ascii="Calibri" w:hAnsi="Calibri" w:cs="Calibri"/>
                <w:sz w:val="22"/>
                <w:szCs w:val="22"/>
                <w:lang w:val="uk-UA"/>
              </w:rPr>
            </w:pPr>
            <w:r w:rsidRPr="00D03C6F">
              <w:rPr>
                <w:rFonts w:ascii="Calibri" w:hAnsi="Calibri" w:cs="Calibri"/>
                <w:sz w:val="22"/>
                <w:szCs w:val="22"/>
                <w:lang w:val="uk-UA"/>
              </w:rPr>
              <w:t>2</w:t>
            </w:r>
          </w:p>
        </w:tc>
        <w:tc>
          <w:tcPr>
            <w:tcW w:w="4829" w:type="dxa"/>
            <w:shd w:val="clear" w:color="auto" w:fill="auto"/>
          </w:tcPr>
          <w:p w:rsidR="004E3B9A" w:rsidRPr="00221111" w:rsidRDefault="00D14C10" w:rsidP="00584814">
            <w:pPr>
              <w:pStyle w:val="ListParagraph"/>
              <w:suppressAutoHyphens/>
              <w:spacing w:line="1" w:lineRule="atLeast"/>
              <w:ind w:left="0"/>
              <w:contextualSpacing/>
              <w:jc w:val="both"/>
              <w:textDirection w:val="btLr"/>
              <w:textAlignment w:val="top"/>
              <w:outlineLvl w:val="0"/>
              <w:rPr>
                <w:rFonts w:ascii="Calibri" w:eastAsia="Calibri" w:hAnsi="Calibri" w:cs="Calibri"/>
                <w:sz w:val="22"/>
                <w:szCs w:val="22"/>
                <w:lang w:val="en-US"/>
              </w:rPr>
            </w:pPr>
            <w:r w:rsidRPr="003E0238">
              <w:rPr>
                <w:rFonts w:ascii="Calibri" w:eastAsia="Calibri" w:hAnsi="Calibri" w:cs="Calibri"/>
                <w:b/>
                <w:sz w:val="22"/>
                <w:szCs w:val="22"/>
              </w:rPr>
              <w:t>Deliverable 2.</w:t>
            </w:r>
            <w:r>
              <w:rPr>
                <w:rFonts w:ascii="Calibri" w:eastAsia="Calibri" w:hAnsi="Calibri" w:cs="Calibri"/>
                <w:sz w:val="22"/>
                <w:szCs w:val="22"/>
              </w:rPr>
              <w:t xml:space="preserve"> </w:t>
            </w:r>
            <w:r w:rsidR="00584814" w:rsidRPr="00584814">
              <w:rPr>
                <w:rFonts w:ascii="Calibri" w:eastAsia="Calibri" w:hAnsi="Calibri" w:cs="Calibri"/>
                <w:sz w:val="22"/>
                <w:szCs w:val="22"/>
              </w:rPr>
              <w:t>Development of methodology and relevant tools for evaluation of effectiveness of employability support to GBV survivors outlined in the Handbook.</w:t>
            </w:r>
          </w:p>
        </w:tc>
        <w:tc>
          <w:tcPr>
            <w:tcW w:w="1128" w:type="dxa"/>
            <w:shd w:val="clear" w:color="auto" w:fill="auto"/>
          </w:tcPr>
          <w:p w:rsidR="004E3B9A" w:rsidRPr="00D03C6F" w:rsidRDefault="00D14C10" w:rsidP="00E670C3">
            <w:pPr>
              <w:rPr>
                <w:rFonts w:ascii="Calibri" w:hAnsi="Calibri" w:cs="Calibri"/>
                <w:sz w:val="22"/>
                <w:szCs w:val="22"/>
                <w:lang w:val="uk-UA"/>
              </w:rPr>
            </w:pPr>
            <w:r>
              <w:rPr>
                <w:rFonts w:ascii="Calibri" w:hAnsi="Calibri" w:cs="Calibri"/>
                <w:sz w:val="22"/>
                <w:szCs w:val="22"/>
                <w:lang w:val="en-US"/>
              </w:rPr>
              <w:t>Hour of work</w:t>
            </w:r>
            <w:r w:rsidR="00F57F3D" w:rsidRPr="00D03C6F">
              <w:rPr>
                <w:rFonts w:ascii="Calibri" w:hAnsi="Calibri" w:cs="Calibri"/>
                <w:sz w:val="22"/>
                <w:szCs w:val="22"/>
                <w:lang w:val="uk-UA"/>
              </w:rPr>
              <w:t xml:space="preserve"> </w:t>
            </w:r>
          </w:p>
        </w:tc>
        <w:tc>
          <w:tcPr>
            <w:tcW w:w="1075" w:type="dxa"/>
            <w:shd w:val="clear" w:color="auto" w:fill="auto"/>
          </w:tcPr>
          <w:p w:rsidR="004E3B9A" w:rsidRPr="00D03C6F" w:rsidRDefault="004E3B9A" w:rsidP="00E670C3">
            <w:pPr>
              <w:rPr>
                <w:rFonts w:ascii="Calibri" w:hAnsi="Calibri" w:cs="Calibri"/>
                <w:sz w:val="22"/>
                <w:szCs w:val="22"/>
                <w:lang w:val="uk-UA"/>
              </w:rPr>
            </w:pPr>
          </w:p>
        </w:tc>
        <w:tc>
          <w:tcPr>
            <w:tcW w:w="1134" w:type="dxa"/>
            <w:shd w:val="clear" w:color="auto" w:fill="auto"/>
          </w:tcPr>
          <w:p w:rsidR="004E3B9A" w:rsidRPr="00D03C6F" w:rsidRDefault="004E3B9A" w:rsidP="00E670C3">
            <w:pPr>
              <w:rPr>
                <w:rFonts w:ascii="Calibri" w:hAnsi="Calibri" w:cs="Calibri"/>
                <w:sz w:val="22"/>
                <w:szCs w:val="22"/>
                <w:lang w:val="uk-UA"/>
              </w:rPr>
            </w:pPr>
          </w:p>
        </w:tc>
        <w:tc>
          <w:tcPr>
            <w:tcW w:w="1199" w:type="dxa"/>
            <w:shd w:val="clear" w:color="auto" w:fill="auto"/>
          </w:tcPr>
          <w:p w:rsidR="004E3B9A" w:rsidRPr="00D03C6F" w:rsidRDefault="004E3B9A" w:rsidP="00E670C3">
            <w:pPr>
              <w:rPr>
                <w:rFonts w:ascii="Calibri" w:hAnsi="Calibri" w:cs="Calibri"/>
                <w:sz w:val="22"/>
                <w:szCs w:val="22"/>
                <w:lang w:val="uk-UA"/>
              </w:rPr>
            </w:pPr>
          </w:p>
        </w:tc>
      </w:tr>
      <w:tr w:rsidR="00F57F3D" w:rsidRPr="00D03C6F" w:rsidTr="0024067E">
        <w:tc>
          <w:tcPr>
            <w:tcW w:w="524" w:type="dxa"/>
            <w:shd w:val="clear" w:color="auto" w:fill="auto"/>
          </w:tcPr>
          <w:p w:rsidR="004E3B9A" w:rsidRPr="00D03C6F" w:rsidRDefault="004E3B9A" w:rsidP="00E670C3">
            <w:pPr>
              <w:rPr>
                <w:rFonts w:ascii="Calibri" w:hAnsi="Calibri" w:cs="Calibri"/>
                <w:sz w:val="22"/>
                <w:szCs w:val="22"/>
                <w:lang w:val="uk-UA"/>
              </w:rPr>
            </w:pPr>
            <w:r w:rsidRPr="00D03C6F">
              <w:rPr>
                <w:rFonts w:ascii="Calibri" w:hAnsi="Calibri" w:cs="Calibri"/>
                <w:sz w:val="22"/>
                <w:szCs w:val="22"/>
                <w:lang w:val="uk-UA"/>
              </w:rPr>
              <w:t>3</w:t>
            </w:r>
          </w:p>
        </w:tc>
        <w:tc>
          <w:tcPr>
            <w:tcW w:w="4829" w:type="dxa"/>
            <w:shd w:val="clear" w:color="auto" w:fill="auto"/>
          </w:tcPr>
          <w:p w:rsidR="004E3B9A" w:rsidRPr="00D03C6F" w:rsidRDefault="00D14C10" w:rsidP="00284653">
            <w:pPr>
              <w:rPr>
                <w:rFonts w:ascii="Calibri" w:hAnsi="Calibri" w:cs="Calibri"/>
                <w:sz w:val="22"/>
                <w:szCs w:val="22"/>
                <w:lang w:val="uk-UA"/>
              </w:rPr>
            </w:pPr>
            <w:r w:rsidRPr="003E0238">
              <w:rPr>
                <w:rFonts w:ascii="Calibri" w:eastAsia="Calibri" w:hAnsi="Calibri" w:cs="Calibri"/>
                <w:b/>
                <w:sz w:val="22"/>
                <w:szCs w:val="22"/>
              </w:rPr>
              <w:t>Deliverable 3.</w:t>
            </w:r>
            <w:r>
              <w:rPr>
                <w:rFonts w:ascii="Calibri" w:eastAsia="Calibri" w:hAnsi="Calibri" w:cs="Calibri"/>
                <w:sz w:val="22"/>
                <w:szCs w:val="22"/>
              </w:rPr>
              <w:t xml:space="preserve"> </w:t>
            </w:r>
            <w:r w:rsidR="00584814" w:rsidRPr="00584814">
              <w:rPr>
                <w:rFonts w:ascii="Calibri" w:eastAsia="Calibri" w:hAnsi="Calibri" w:cs="Calibri"/>
                <w:sz w:val="22"/>
                <w:szCs w:val="22"/>
              </w:rPr>
              <w:t>Based on the Handbook, a set of training materials on provision of effective employability support to GBV survivors. The materials should include: (1) training agenda (for a half-a-day session), (2) PowerPoint Presentation for the training session, (3) brief guidelines for trainers, (4) hand-outs for participants.</w:t>
            </w:r>
          </w:p>
        </w:tc>
        <w:tc>
          <w:tcPr>
            <w:tcW w:w="1128" w:type="dxa"/>
            <w:shd w:val="clear" w:color="auto" w:fill="auto"/>
          </w:tcPr>
          <w:p w:rsidR="004E3B9A" w:rsidRPr="00D03C6F" w:rsidRDefault="00D14C10" w:rsidP="00E670C3">
            <w:pPr>
              <w:rPr>
                <w:rFonts w:ascii="Calibri" w:hAnsi="Calibri" w:cs="Calibri"/>
                <w:sz w:val="22"/>
                <w:szCs w:val="22"/>
                <w:lang w:val="uk-UA"/>
              </w:rPr>
            </w:pPr>
            <w:r>
              <w:rPr>
                <w:rFonts w:ascii="Calibri" w:hAnsi="Calibri" w:cs="Calibri"/>
                <w:sz w:val="22"/>
                <w:szCs w:val="22"/>
                <w:lang w:val="en-US"/>
              </w:rPr>
              <w:t>Hour of work</w:t>
            </w:r>
            <w:r w:rsidR="00F57F3D" w:rsidRPr="00D03C6F">
              <w:rPr>
                <w:rFonts w:ascii="Calibri" w:hAnsi="Calibri" w:cs="Calibri"/>
                <w:sz w:val="22"/>
                <w:szCs w:val="22"/>
                <w:lang w:val="uk-UA"/>
              </w:rPr>
              <w:t xml:space="preserve">  </w:t>
            </w:r>
          </w:p>
        </w:tc>
        <w:tc>
          <w:tcPr>
            <w:tcW w:w="1075" w:type="dxa"/>
            <w:shd w:val="clear" w:color="auto" w:fill="auto"/>
          </w:tcPr>
          <w:p w:rsidR="004E3B9A" w:rsidRPr="00D03C6F" w:rsidRDefault="004E3B9A" w:rsidP="00E670C3">
            <w:pPr>
              <w:rPr>
                <w:rFonts w:ascii="Calibri" w:hAnsi="Calibri" w:cs="Calibri"/>
                <w:sz w:val="22"/>
                <w:szCs w:val="22"/>
                <w:lang w:val="uk-UA"/>
              </w:rPr>
            </w:pPr>
          </w:p>
        </w:tc>
        <w:tc>
          <w:tcPr>
            <w:tcW w:w="1134" w:type="dxa"/>
            <w:shd w:val="clear" w:color="auto" w:fill="auto"/>
          </w:tcPr>
          <w:p w:rsidR="004E3B9A" w:rsidRPr="00D03C6F" w:rsidRDefault="004E3B9A" w:rsidP="00E670C3">
            <w:pPr>
              <w:rPr>
                <w:rFonts w:ascii="Calibri" w:hAnsi="Calibri" w:cs="Calibri"/>
                <w:sz w:val="22"/>
                <w:szCs w:val="22"/>
                <w:lang w:val="uk-UA"/>
              </w:rPr>
            </w:pPr>
          </w:p>
        </w:tc>
        <w:tc>
          <w:tcPr>
            <w:tcW w:w="1199" w:type="dxa"/>
            <w:shd w:val="clear" w:color="auto" w:fill="auto"/>
          </w:tcPr>
          <w:p w:rsidR="004E3B9A" w:rsidRPr="00D03C6F" w:rsidRDefault="004E3B9A" w:rsidP="00E670C3">
            <w:pPr>
              <w:rPr>
                <w:rFonts w:ascii="Calibri" w:hAnsi="Calibri" w:cs="Calibri"/>
                <w:sz w:val="22"/>
                <w:szCs w:val="22"/>
                <w:lang w:val="uk-UA"/>
              </w:rPr>
            </w:pPr>
          </w:p>
        </w:tc>
      </w:tr>
      <w:tr w:rsidR="00F57F3D" w:rsidRPr="00D03C6F" w:rsidTr="0024067E">
        <w:tc>
          <w:tcPr>
            <w:tcW w:w="524" w:type="dxa"/>
            <w:shd w:val="clear" w:color="auto" w:fill="auto"/>
          </w:tcPr>
          <w:p w:rsidR="004E3B9A" w:rsidRPr="00D03C6F" w:rsidRDefault="00CD279E" w:rsidP="00E670C3">
            <w:pPr>
              <w:rPr>
                <w:rFonts w:ascii="Calibri" w:hAnsi="Calibri" w:cs="Calibri"/>
                <w:sz w:val="22"/>
                <w:szCs w:val="22"/>
                <w:lang w:val="uk-UA"/>
              </w:rPr>
            </w:pPr>
            <w:r w:rsidRPr="00D03C6F">
              <w:rPr>
                <w:rFonts w:ascii="Calibri" w:hAnsi="Calibri" w:cs="Calibri"/>
                <w:sz w:val="22"/>
                <w:szCs w:val="22"/>
                <w:lang w:val="uk-UA"/>
              </w:rPr>
              <w:t xml:space="preserve">4. </w:t>
            </w:r>
          </w:p>
        </w:tc>
        <w:tc>
          <w:tcPr>
            <w:tcW w:w="4829" w:type="dxa"/>
            <w:shd w:val="clear" w:color="auto" w:fill="auto"/>
          </w:tcPr>
          <w:p w:rsidR="00CD279E" w:rsidRPr="00221111" w:rsidRDefault="00CD279E" w:rsidP="00221111">
            <w:pPr>
              <w:pBdr>
                <w:top w:val="nil"/>
                <w:left w:val="nil"/>
                <w:bottom w:val="nil"/>
                <w:right w:val="nil"/>
                <w:between w:val="nil"/>
              </w:pBdr>
              <w:ind w:hanging="2"/>
              <w:jc w:val="both"/>
              <w:rPr>
                <w:rFonts w:ascii="Calibri" w:eastAsia="Calibri" w:hAnsi="Calibri" w:cs="Calibri"/>
                <w:sz w:val="22"/>
                <w:szCs w:val="22"/>
              </w:rPr>
            </w:pPr>
            <w:r w:rsidRPr="00D03C6F">
              <w:rPr>
                <w:rFonts w:ascii="Calibri" w:hAnsi="Calibri" w:cs="Calibri"/>
                <w:sz w:val="22"/>
                <w:szCs w:val="22"/>
                <w:lang w:val="uk-UA"/>
              </w:rPr>
              <w:t xml:space="preserve"> </w:t>
            </w:r>
            <w:r w:rsidR="00D14C10" w:rsidRPr="003E0238">
              <w:rPr>
                <w:rFonts w:ascii="Calibri" w:eastAsia="Calibri" w:hAnsi="Calibri" w:cs="Calibri"/>
                <w:b/>
                <w:sz w:val="22"/>
                <w:szCs w:val="22"/>
              </w:rPr>
              <w:t>Deliverable 4.</w:t>
            </w:r>
            <w:r w:rsidR="00D14C10">
              <w:rPr>
                <w:rFonts w:ascii="Calibri" w:eastAsia="Calibri" w:hAnsi="Calibri" w:cs="Calibri"/>
                <w:sz w:val="22"/>
                <w:szCs w:val="22"/>
              </w:rPr>
              <w:t xml:space="preserve"> </w:t>
            </w:r>
            <w:r w:rsidR="00584814" w:rsidRPr="00584814">
              <w:rPr>
                <w:rFonts w:ascii="Calibri" w:eastAsia="Calibri" w:hAnsi="Calibri" w:cs="Calibri"/>
                <w:sz w:val="22"/>
                <w:szCs w:val="22"/>
              </w:rPr>
              <w:t xml:space="preserve">Two pilot training sessions conducted to specialists (one session for social workers that provide assistance to GBV survivors, another one is for State Employment Centre specialists) on provision of effective employability support to GBV survivors. Brief report (up to 3 </w:t>
            </w:r>
            <w:r w:rsidR="00584814" w:rsidRPr="00584814">
              <w:rPr>
                <w:rFonts w:ascii="Calibri" w:eastAsia="Calibri" w:hAnsi="Calibri" w:cs="Calibri"/>
                <w:sz w:val="22"/>
                <w:szCs w:val="22"/>
              </w:rPr>
              <w:lastRenderedPageBreak/>
              <w:t>pages) with reflections and lessons learned from the training sessions should be prepared as part of this deliverable.</w:t>
            </w:r>
          </w:p>
        </w:tc>
        <w:tc>
          <w:tcPr>
            <w:tcW w:w="1128" w:type="dxa"/>
            <w:shd w:val="clear" w:color="auto" w:fill="auto"/>
          </w:tcPr>
          <w:p w:rsidR="004E3B9A" w:rsidRPr="00D14C10" w:rsidRDefault="00D14C10" w:rsidP="00E670C3">
            <w:pPr>
              <w:rPr>
                <w:rFonts w:ascii="Calibri" w:hAnsi="Calibri" w:cs="Calibri"/>
                <w:sz w:val="22"/>
                <w:szCs w:val="22"/>
                <w:lang w:val="en-US"/>
              </w:rPr>
            </w:pPr>
            <w:r>
              <w:rPr>
                <w:rFonts w:ascii="Calibri" w:hAnsi="Calibri" w:cs="Calibri"/>
                <w:sz w:val="22"/>
                <w:szCs w:val="22"/>
                <w:lang w:val="en-US"/>
              </w:rPr>
              <w:lastRenderedPageBreak/>
              <w:t>Hour of work</w:t>
            </w:r>
          </w:p>
        </w:tc>
        <w:tc>
          <w:tcPr>
            <w:tcW w:w="1075" w:type="dxa"/>
            <w:shd w:val="clear" w:color="auto" w:fill="auto"/>
          </w:tcPr>
          <w:p w:rsidR="004E3B9A" w:rsidRPr="00D03C6F" w:rsidRDefault="004E3B9A" w:rsidP="00E670C3">
            <w:pPr>
              <w:rPr>
                <w:rFonts w:ascii="Calibri" w:hAnsi="Calibri" w:cs="Calibri"/>
                <w:sz w:val="22"/>
                <w:szCs w:val="22"/>
                <w:lang w:val="uk-UA"/>
              </w:rPr>
            </w:pPr>
          </w:p>
        </w:tc>
        <w:tc>
          <w:tcPr>
            <w:tcW w:w="1134" w:type="dxa"/>
            <w:shd w:val="clear" w:color="auto" w:fill="auto"/>
          </w:tcPr>
          <w:p w:rsidR="004E3B9A" w:rsidRPr="00D03C6F" w:rsidRDefault="004E3B9A" w:rsidP="00E670C3">
            <w:pPr>
              <w:rPr>
                <w:rFonts w:ascii="Calibri" w:hAnsi="Calibri" w:cs="Calibri"/>
                <w:sz w:val="22"/>
                <w:szCs w:val="22"/>
                <w:lang w:val="uk-UA"/>
              </w:rPr>
            </w:pPr>
          </w:p>
        </w:tc>
        <w:tc>
          <w:tcPr>
            <w:tcW w:w="1199" w:type="dxa"/>
            <w:shd w:val="clear" w:color="auto" w:fill="auto"/>
          </w:tcPr>
          <w:p w:rsidR="004E3B9A" w:rsidRPr="00D03C6F" w:rsidRDefault="004E3B9A" w:rsidP="00E670C3">
            <w:pPr>
              <w:rPr>
                <w:rFonts w:ascii="Calibri" w:hAnsi="Calibri" w:cs="Calibri"/>
                <w:sz w:val="22"/>
                <w:szCs w:val="22"/>
                <w:lang w:val="uk-UA"/>
              </w:rPr>
            </w:pPr>
          </w:p>
        </w:tc>
      </w:tr>
      <w:tr w:rsidR="000249C8" w:rsidRPr="00D03C6F" w:rsidTr="0024067E">
        <w:tc>
          <w:tcPr>
            <w:tcW w:w="524" w:type="dxa"/>
            <w:shd w:val="clear" w:color="auto" w:fill="auto"/>
          </w:tcPr>
          <w:p w:rsidR="000249C8" w:rsidRPr="000249C8" w:rsidRDefault="000249C8" w:rsidP="00E670C3">
            <w:pPr>
              <w:rPr>
                <w:rFonts w:ascii="Calibri" w:hAnsi="Calibri" w:cs="Calibri"/>
                <w:sz w:val="22"/>
                <w:szCs w:val="22"/>
                <w:lang w:val="en-US"/>
              </w:rPr>
            </w:pPr>
            <w:r>
              <w:rPr>
                <w:rFonts w:ascii="Calibri" w:hAnsi="Calibri" w:cs="Calibri"/>
                <w:sz w:val="22"/>
                <w:szCs w:val="22"/>
                <w:lang w:val="en-US"/>
              </w:rPr>
              <w:t xml:space="preserve">5. </w:t>
            </w:r>
          </w:p>
        </w:tc>
        <w:tc>
          <w:tcPr>
            <w:tcW w:w="4829" w:type="dxa"/>
            <w:shd w:val="clear" w:color="auto" w:fill="auto"/>
          </w:tcPr>
          <w:p w:rsidR="000249C8" w:rsidRPr="00221111" w:rsidRDefault="000249C8" w:rsidP="00221111">
            <w:pPr>
              <w:ind w:hanging="2"/>
              <w:jc w:val="both"/>
              <w:rPr>
                <w:rFonts w:ascii="Calibri" w:eastAsia="Calibri" w:hAnsi="Calibri" w:cs="Calibri"/>
                <w:sz w:val="22"/>
                <w:szCs w:val="22"/>
              </w:rPr>
            </w:pPr>
            <w:r>
              <w:rPr>
                <w:rFonts w:ascii="Calibri" w:eastAsia="Calibri" w:hAnsi="Calibri" w:cs="Calibri"/>
                <w:b/>
                <w:sz w:val="22"/>
                <w:szCs w:val="22"/>
              </w:rPr>
              <w:t>Deliverable 5</w:t>
            </w:r>
            <w:r w:rsidRPr="003E0238">
              <w:rPr>
                <w:rFonts w:ascii="Calibri" w:eastAsia="Calibri" w:hAnsi="Calibri" w:cs="Calibri"/>
                <w:b/>
                <w:sz w:val="22"/>
                <w:szCs w:val="22"/>
              </w:rPr>
              <w:t>.</w:t>
            </w:r>
            <w:r>
              <w:rPr>
                <w:rFonts w:ascii="Calibri" w:eastAsia="Calibri" w:hAnsi="Calibri" w:cs="Calibri"/>
                <w:b/>
                <w:sz w:val="22"/>
                <w:szCs w:val="22"/>
              </w:rPr>
              <w:t xml:space="preserve"> </w:t>
            </w:r>
            <w:r w:rsidR="00584814" w:rsidRPr="00584814">
              <w:rPr>
                <w:rFonts w:ascii="Calibri" w:eastAsia="Calibri" w:hAnsi="Calibri" w:cs="Calibri"/>
                <w:sz w:val="22"/>
                <w:szCs w:val="22"/>
              </w:rPr>
              <w:t>Informed by the post-training report, finalised conceptual handbook on provision of effective employability support to GBV survivors, including methodology and relevant tools of evaluation of effectiveness of proposed support.</w:t>
            </w:r>
          </w:p>
        </w:tc>
        <w:tc>
          <w:tcPr>
            <w:tcW w:w="1128" w:type="dxa"/>
            <w:shd w:val="clear" w:color="auto" w:fill="auto"/>
          </w:tcPr>
          <w:p w:rsidR="000249C8" w:rsidRDefault="00C5614C" w:rsidP="00E670C3">
            <w:pPr>
              <w:rPr>
                <w:rFonts w:ascii="Calibri" w:hAnsi="Calibri" w:cs="Calibri"/>
                <w:sz w:val="22"/>
                <w:szCs w:val="22"/>
                <w:lang w:val="en-US"/>
              </w:rPr>
            </w:pPr>
            <w:r>
              <w:rPr>
                <w:rFonts w:ascii="Calibri" w:hAnsi="Calibri" w:cs="Calibri"/>
                <w:sz w:val="22"/>
                <w:szCs w:val="22"/>
                <w:lang w:val="en-US"/>
              </w:rPr>
              <w:t>Hour of work</w:t>
            </w:r>
          </w:p>
        </w:tc>
        <w:tc>
          <w:tcPr>
            <w:tcW w:w="1075" w:type="dxa"/>
            <w:shd w:val="clear" w:color="auto" w:fill="auto"/>
          </w:tcPr>
          <w:p w:rsidR="000249C8" w:rsidRPr="00D03C6F" w:rsidRDefault="000249C8" w:rsidP="00E670C3">
            <w:pPr>
              <w:rPr>
                <w:rFonts w:ascii="Calibri" w:hAnsi="Calibri" w:cs="Calibri"/>
                <w:sz w:val="22"/>
                <w:szCs w:val="22"/>
                <w:lang w:val="uk-UA"/>
              </w:rPr>
            </w:pPr>
          </w:p>
        </w:tc>
        <w:tc>
          <w:tcPr>
            <w:tcW w:w="1134" w:type="dxa"/>
            <w:shd w:val="clear" w:color="auto" w:fill="auto"/>
          </w:tcPr>
          <w:p w:rsidR="000249C8" w:rsidRPr="00D03C6F" w:rsidRDefault="000249C8" w:rsidP="00E670C3">
            <w:pPr>
              <w:rPr>
                <w:rFonts w:ascii="Calibri" w:hAnsi="Calibri" w:cs="Calibri"/>
                <w:sz w:val="22"/>
                <w:szCs w:val="22"/>
                <w:lang w:val="uk-UA"/>
              </w:rPr>
            </w:pPr>
          </w:p>
        </w:tc>
        <w:tc>
          <w:tcPr>
            <w:tcW w:w="1199" w:type="dxa"/>
            <w:shd w:val="clear" w:color="auto" w:fill="auto"/>
          </w:tcPr>
          <w:p w:rsidR="000249C8" w:rsidRPr="00D03C6F" w:rsidRDefault="000249C8" w:rsidP="00E670C3">
            <w:pPr>
              <w:rPr>
                <w:rFonts w:ascii="Calibri" w:hAnsi="Calibri" w:cs="Calibri"/>
                <w:sz w:val="22"/>
                <w:szCs w:val="22"/>
                <w:lang w:val="uk-UA"/>
              </w:rPr>
            </w:pPr>
          </w:p>
        </w:tc>
      </w:tr>
      <w:tr w:rsidR="00CD279E" w:rsidRPr="00D03C6F" w:rsidTr="0024067E">
        <w:tc>
          <w:tcPr>
            <w:tcW w:w="524" w:type="dxa"/>
            <w:shd w:val="clear" w:color="auto" w:fill="auto"/>
          </w:tcPr>
          <w:p w:rsidR="00CD279E" w:rsidRPr="00D03C6F" w:rsidRDefault="00CD279E" w:rsidP="00E670C3">
            <w:pPr>
              <w:rPr>
                <w:rFonts w:ascii="Calibri" w:hAnsi="Calibri" w:cs="Calibri"/>
                <w:sz w:val="22"/>
                <w:szCs w:val="22"/>
                <w:lang w:val="uk-UA"/>
              </w:rPr>
            </w:pPr>
          </w:p>
        </w:tc>
        <w:tc>
          <w:tcPr>
            <w:tcW w:w="8166" w:type="dxa"/>
            <w:gridSpan w:val="4"/>
            <w:shd w:val="clear" w:color="auto" w:fill="auto"/>
          </w:tcPr>
          <w:p w:rsidR="00CD279E" w:rsidRPr="00D03C6F" w:rsidRDefault="00D14C10" w:rsidP="0024067E">
            <w:pPr>
              <w:jc w:val="right"/>
              <w:rPr>
                <w:rFonts w:ascii="Calibri" w:hAnsi="Calibri" w:cs="Calibri"/>
                <w:b/>
                <w:sz w:val="22"/>
                <w:szCs w:val="22"/>
                <w:lang w:val="uk-UA"/>
              </w:rPr>
            </w:pPr>
            <w:r>
              <w:rPr>
                <w:rFonts w:ascii="Calibri" w:hAnsi="Calibri" w:cs="Calibri"/>
                <w:b/>
                <w:sz w:val="22"/>
                <w:szCs w:val="22"/>
                <w:lang w:val="uk-UA"/>
              </w:rPr>
              <w:t xml:space="preserve"> </w:t>
            </w:r>
            <w:r>
              <w:rPr>
                <w:rFonts w:ascii="Calibri" w:hAnsi="Calibri" w:cs="Calibri"/>
                <w:b/>
                <w:sz w:val="22"/>
                <w:szCs w:val="22"/>
                <w:lang w:val="en-US"/>
              </w:rPr>
              <w:t>The total cost of the contract</w:t>
            </w:r>
            <w:r w:rsidR="00CD279E" w:rsidRPr="00D03C6F">
              <w:rPr>
                <w:rFonts w:ascii="Calibri" w:hAnsi="Calibri" w:cs="Calibri"/>
                <w:b/>
                <w:sz w:val="22"/>
                <w:szCs w:val="22"/>
                <w:lang w:val="uk-UA"/>
              </w:rPr>
              <w:t xml:space="preserve">, USD </w:t>
            </w:r>
          </w:p>
        </w:tc>
        <w:tc>
          <w:tcPr>
            <w:tcW w:w="1199" w:type="dxa"/>
            <w:shd w:val="clear" w:color="auto" w:fill="auto"/>
          </w:tcPr>
          <w:p w:rsidR="00CD279E" w:rsidRPr="00D03C6F" w:rsidRDefault="00CD279E" w:rsidP="00E670C3">
            <w:pPr>
              <w:rPr>
                <w:rFonts w:ascii="Calibri" w:hAnsi="Calibri" w:cs="Calibri"/>
                <w:sz w:val="22"/>
                <w:szCs w:val="22"/>
                <w:lang w:val="uk-UA"/>
              </w:rPr>
            </w:pPr>
          </w:p>
        </w:tc>
      </w:tr>
    </w:tbl>
    <w:p w:rsidR="004E3B9A" w:rsidRPr="00D03C6F" w:rsidRDefault="004E3B9A" w:rsidP="00E670C3">
      <w:pPr>
        <w:rPr>
          <w:rFonts w:ascii="Calibri" w:hAnsi="Calibri" w:cs="Calibri"/>
          <w:sz w:val="22"/>
          <w:szCs w:val="22"/>
          <w:lang w:val="uk-UA"/>
        </w:rPr>
      </w:pPr>
    </w:p>
    <w:p w:rsidR="00BE56E0" w:rsidRPr="00D03C6F" w:rsidRDefault="00BE56E0" w:rsidP="00E670C3">
      <w:pPr>
        <w:rPr>
          <w:rFonts w:ascii="Calibri" w:hAnsi="Calibri" w:cs="Calibri"/>
          <w:sz w:val="22"/>
          <w:szCs w:val="22"/>
          <w:lang w:val="uk-UA"/>
        </w:rPr>
      </w:pPr>
    </w:p>
    <w:p w:rsidR="00BE56E0" w:rsidRPr="00D03C6F" w:rsidRDefault="00BE56E0" w:rsidP="00BE56E0">
      <w:pPr>
        <w:rPr>
          <w:rFonts w:ascii="Calibri" w:hAnsi="Calibri" w:cs="Calibri"/>
          <w:b/>
          <w:sz w:val="22"/>
          <w:szCs w:val="22"/>
          <w:lang w:val="uk-UA"/>
        </w:rPr>
      </w:pPr>
      <w:r w:rsidRPr="00D03C6F">
        <w:rPr>
          <w:rFonts w:ascii="Calibri" w:hAnsi="Calibri" w:cs="Calibri"/>
          <w:b/>
          <w:sz w:val="22"/>
          <w:szCs w:val="22"/>
          <w:lang w:val="uk-UA"/>
        </w:rPr>
        <w:t xml:space="preserve"> </w:t>
      </w:r>
      <w:r w:rsidR="00F57F3D" w:rsidRPr="00D03C6F">
        <w:rPr>
          <w:rFonts w:ascii="Calibri" w:hAnsi="Calibri" w:cs="Calibri"/>
          <w:b/>
          <w:sz w:val="22"/>
          <w:szCs w:val="22"/>
          <w:lang w:val="uk-UA"/>
        </w:rPr>
        <w:t xml:space="preserve"> </w:t>
      </w:r>
      <w:r w:rsidR="00D14C10">
        <w:rPr>
          <w:rFonts w:ascii="Calibri" w:hAnsi="Calibri" w:cs="Calibri"/>
          <w:b/>
          <w:sz w:val="22"/>
          <w:szCs w:val="22"/>
          <w:lang w:val="en-US"/>
        </w:rPr>
        <w:t>Description of methodology</w:t>
      </w:r>
      <w:r w:rsidRPr="00D03C6F">
        <w:rPr>
          <w:rFonts w:ascii="Calibri" w:hAnsi="Calibri" w:cs="Calibri"/>
          <w:b/>
          <w:sz w:val="22"/>
          <w:szCs w:val="22"/>
          <w:lang w:val="uk-UA"/>
        </w:rPr>
        <w:t xml:space="preserve">  </w:t>
      </w:r>
    </w:p>
    <w:p w:rsidR="00BE56E0" w:rsidRPr="00D03C6F" w:rsidRDefault="00BE56E0" w:rsidP="00BE56E0">
      <w:pPr>
        <w:rPr>
          <w:rFonts w:ascii="Calibri" w:hAnsi="Calibri" w:cs="Calibri"/>
          <w:b/>
          <w:sz w:val="22"/>
          <w:szCs w:val="22"/>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4174"/>
        <w:gridCol w:w="1980"/>
        <w:gridCol w:w="1890"/>
        <w:gridCol w:w="1463"/>
      </w:tblGrid>
      <w:tr w:rsidR="001C0B99" w:rsidRPr="00D03C6F" w:rsidTr="00221111">
        <w:tc>
          <w:tcPr>
            <w:tcW w:w="524" w:type="dxa"/>
            <w:shd w:val="clear" w:color="auto" w:fill="auto"/>
          </w:tcPr>
          <w:p w:rsidR="001C0B99" w:rsidRPr="00D03C6F" w:rsidRDefault="001C0B99" w:rsidP="0024067E">
            <w:pPr>
              <w:rPr>
                <w:rFonts w:ascii="Calibri" w:hAnsi="Calibri" w:cs="Calibri"/>
                <w:b/>
                <w:i/>
                <w:sz w:val="22"/>
                <w:szCs w:val="22"/>
                <w:lang w:val="uk-UA"/>
              </w:rPr>
            </w:pPr>
          </w:p>
        </w:tc>
        <w:tc>
          <w:tcPr>
            <w:tcW w:w="4174" w:type="dxa"/>
            <w:shd w:val="clear" w:color="auto" w:fill="auto"/>
          </w:tcPr>
          <w:p w:rsidR="001C0B99" w:rsidRPr="00D14C10" w:rsidRDefault="00D14C10" w:rsidP="0024067E">
            <w:pPr>
              <w:rPr>
                <w:rFonts w:ascii="Calibri" w:hAnsi="Calibri" w:cs="Calibri"/>
                <w:b/>
                <w:i/>
                <w:sz w:val="22"/>
                <w:szCs w:val="22"/>
                <w:lang w:val="en-US"/>
              </w:rPr>
            </w:pPr>
            <w:r>
              <w:rPr>
                <w:rFonts w:ascii="Calibri" w:hAnsi="Calibri" w:cs="Calibri"/>
                <w:b/>
                <w:i/>
                <w:sz w:val="22"/>
                <w:szCs w:val="22"/>
                <w:lang w:val="en-US"/>
              </w:rPr>
              <w:t>Deliverables</w:t>
            </w:r>
          </w:p>
        </w:tc>
        <w:tc>
          <w:tcPr>
            <w:tcW w:w="1980" w:type="dxa"/>
            <w:shd w:val="clear" w:color="auto" w:fill="auto"/>
          </w:tcPr>
          <w:p w:rsidR="001C0B99" w:rsidRPr="00D03C6F" w:rsidRDefault="001C0B99" w:rsidP="00F57F3D">
            <w:pPr>
              <w:rPr>
                <w:rFonts w:ascii="Calibri" w:hAnsi="Calibri" w:cs="Calibri"/>
                <w:b/>
                <w:i/>
                <w:sz w:val="22"/>
                <w:szCs w:val="22"/>
                <w:lang w:val="uk-UA"/>
              </w:rPr>
            </w:pPr>
            <w:r w:rsidRPr="00D03C6F">
              <w:rPr>
                <w:rFonts w:ascii="Calibri" w:hAnsi="Calibri" w:cs="Calibri"/>
                <w:b/>
                <w:i/>
                <w:sz w:val="22"/>
                <w:szCs w:val="22"/>
                <w:lang w:val="uk-UA"/>
              </w:rPr>
              <w:t xml:space="preserve"> </w:t>
            </w:r>
            <w:r w:rsidR="00D14C10">
              <w:rPr>
                <w:rFonts w:ascii="Calibri" w:hAnsi="Calibri" w:cs="Calibri"/>
                <w:b/>
                <w:i/>
                <w:sz w:val="22"/>
                <w:szCs w:val="22"/>
                <w:lang w:val="en-US"/>
              </w:rPr>
              <w:t>Source of information/data</w:t>
            </w:r>
            <w:r w:rsidRPr="00D03C6F">
              <w:rPr>
                <w:rFonts w:ascii="Calibri" w:hAnsi="Calibri" w:cs="Calibri"/>
                <w:b/>
                <w:i/>
                <w:sz w:val="22"/>
                <w:szCs w:val="22"/>
                <w:lang w:val="uk-UA"/>
              </w:rPr>
              <w:t xml:space="preserve"> </w:t>
            </w:r>
          </w:p>
        </w:tc>
        <w:tc>
          <w:tcPr>
            <w:tcW w:w="1890" w:type="dxa"/>
            <w:shd w:val="clear" w:color="auto" w:fill="auto"/>
          </w:tcPr>
          <w:p w:rsidR="001C0B99" w:rsidRPr="00D03C6F" w:rsidRDefault="00D14C10" w:rsidP="00F57F3D">
            <w:pPr>
              <w:rPr>
                <w:rFonts w:ascii="Calibri" w:hAnsi="Calibri" w:cs="Calibri"/>
                <w:b/>
                <w:i/>
                <w:sz w:val="22"/>
                <w:szCs w:val="22"/>
                <w:lang w:val="uk-UA"/>
              </w:rPr>
            </w:pPr>
            <w:r>
              <w:rPr>
                <w:rFonts w:ascii="Calibri" w:hAnsi="Calibri" w:cs="Calibri"/>
                <w:b/>
                <w:i/>
                <w:sz w:val="22"/>
                <w:szCs w:val="22"/>
                <w:lang w:val="uk-UA"/>
              </w:rPr>
              <w:t xml:space="preserve"> </w:t>
            </w:r>
            <w:r>
              <w:rPr>
                <w:rFonts w:ascii="Calibri" w:hAnsi="Calibri" w:cs="Calibri"/>
                <w:b/>
                <w:i/>
                <w:sz w:val="22"/>
                <w:szCs w:val="22"/>
                <w:lang w:val="en-US"/>
              </w:rPr>
              <w:t xml:space="preserve">Methods </w:t>
            </w:r>
            <w:r w:rsidR="001C0B99" w:rsidRPr="00D03C6F">
              <w:rPr>
                <w:rFonts w:ascii="Calibri" w:hAnsi="Calibri" w:cs="Calibri"/>
                <w:b/>
                <w:i/>
                <w:sz w:val="22"/>
                <w:szCs w:val="22"/>
                <w:lang w:val="uk-UA"/>
              </w:rPr>
              <w:t>(</w:t>
            </w:r>
            <w:r>
              <w:rPr>
                <w:rFonts w:ascii="Calibri" w:hAnsi="Calibri" w:cs="Calibri"/>
                <w:b/>
                <w:i/>
                <w:sz w:val="22"/>
                <w:szCs w:val="22"/>
                <w:lang w:val="uk-UA"/>
              </w:rPr>
              <w:t>analysis of documents, etc.</w:t>
            </w:r>
            <w:r w:rsidR="00F57F3D" w:rsidRPr="00D03C6F">
              <w:rPr>
                <w:rFonts w:ascii="Calibri" w:hAnsi="Calibri" w:cs="Calibri"/>
                <w:b/>
                <w:i/>
                <w:sz w:val="22"/>
                <w:szCs w:val="22"/>
                <w:lang w:val="uk-UA"/>
              </w:rPr>
              <w:t>)</w:t>
            </w:r>
            <w:r w:rsidR="001C0B99" w:rsidRPr="00D03C6F">
              <w:rPr>
                <w:rFonts w:ascii="Calibri" w:hAnsi="Calibri" w:cs="Calibri"/>
                <w:b/>
                <w:i/>
                <w:sz w:val="22"/>
                <w:szCs w:val="22"/>
                <w:lang w:val="uk-UA"/>
              </w:rPr>
              <w:t xml:space="preserve"> </w:t>
            </w:r>
          </w:p>
        </w:tc>
        <w:tc>
          <w:tcPr>
            <w:tcW w:w="1463" w:type="dxa"/>
            <w:shd w:val="clear" w:color="auto" w:fill="auto"/>
          </w:tcPr>
          <w:p w:rsidR="001C0B99" w:rsidRPr="00D14C10" w:rsidRDefault="00D14C10" w:rsidP="0024067E">
            <w:pPr>
              <w:rPr>
                <w:rFonts w:ascii="Calibri" w:hAnsi="Calibri" w:cs="Calibri"/>
                <w:b/>
                <w:i/>
                <w:sz w:val="22"/>
                <w:szCs w:val="22"/>
                <w:lang w:val="en-US"/>
              </w:rPr>
            </w:pPr>
            <w:r>
              <w:rPr>
                <w:rFonts w:ascii="Calibri" w:hAnsi="Calibri" w:cs="Calibri"/>
                <w:b/>
                <w:i/>
                <w:sz w:val="22"/>
                <w:szCs w:val="22"/>
                <w:lang w:val="uk-UA"/>
              </w:rPr>
              <w:t xml:space="preserve"> </w:t>
            </w:r>
            <w:r>
              <w:rPr>
                <w:rFonts w:ascii="Calibri" w:hAnsi="Calibri" w:cs="Calibri"/>
                <w:b/>
                <w:i/>
                <w:sz w:val="22"/>
                <w:szCs w:val="22"/>
                <w:lang w:val="en-US"/>
              </w:rPr>
              <w:t>Planned period</w:t>
            </w:r>
          </w:p>
        </w:tc>
      </w:tr>
      <w:tr w:rsidR="00584814" w:rsidRPr="00D03C6F" w:rsidTr="00221111">
        <w:tc>
          <w:tcPr>
            <w:tcW w:w="524" w:type="dxa"/>
            <w:shd w:val="clear" w:color="auto" w:fill="auto"/>
          </w:tcPr>
          <w:p w:rsidR="00584814" w:rsidRPr="00D03C6F" w:rsidRDefault="00584814" w:rsidP="00584814">
            <w:pPr>
              <w:rPr>
                <w:rFonts w:ascii="Calibri" w:hAnsi="Calibri" w:cs="Calibri"/>
                <w:sz w:val="22"/>
                <w:szCs w:val="22"/>
                <w:lang w:val="uk-UA"/>
              </w:rPr>
            </w:pPr>
            <w:r w:rsidRPr="00D03C6F">
              <w:rPr>
                <w:rFonts w:ascii="Calibri" w:hAnsi="Calibri" w:cs="Calibri"/>
                <w:sz w:val="22"/>
                <w:szCs w:val="22"/>
                <w:lang w:val="uk-UA"/>
              </w:rPr>
              <w:t>1</w:t>
            </w:r>
          </w:p>
        </w:tc>
        <w:tc>
          <w:tcPr>
            <w:tcW w:w="4174" w:type="dxa"/>
            <w:shd w:val="clear" w:color="auto" w:fill="auto"/>
          </w:tcPr>
          <w:p w:rsidR="00584814" w:rsidRPr="00584814" w:rsidRDefault="00584814" w:rsidP="00584814">
            <w:pPr>
              <w:suppressAutoHyphens/>
              <w:spacing w:line="1" w:lineRule="atLeast"/>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b/>
                <w:position w:val="-1"/>
                <w:sz w:val="22"/>
                <w:szCs w:val="22"/>
              </w:rPr>
              <w:t>Deliverable 1.</w:t>
            </w:r>
            <w:r w:rsidRPr="00584814">
              <w:rPr>
                <w:rFonts w:ascii="Calibri" w:eastAsia="Calibri" w:hAnsi="Calibri" w:cs="Calibri"/>
                <w:position w:val="-1"/>
                <w:sz w:val="22"/>
                <w:szCs w:val="22"/>
              </w:rPr>
              <w:t xml:space="preserve"> Draft Handbook on provision of effective employability support to GBV survivors. The handbook should include: (1) analysis of relevant for Ukraine best international practices on provision of effective employability support to GBV survivors (at least 2 case studies); and (2) a chapter/section on provision of effective employability support to GBV survivors from most vulnerable groups – women with disabilities, including mental health disabilities, displaced persons, refugees etc. </w:t>
            </w:r>
          </w:p>
          <w:p w:rsidR="00584814" w:rsidRPr="00584814" w:rsidRDefault="00584814" w:rsidP="00584814">
            <w:pPr>
              <w:suppressAutoHyphens/>
              <w:spacing w:line="1" w:lineRule="atLeast"/>
              <w:jc w:val="both"/>
              <w:textDirection w:val="btLr"/>
              <w:textAlignment w:val="top"/>
              <w:outlineLvl w:val="0"/>
              <w:rPr>
                <w:rFonts w:ascii="Calibri" w:eastAsia="Calibri" w:hAnsi="Calibri" w:cs="Calibri"/>
                <w:position w:val="-1"/>
                <w:sz w:val="22"/>
                <w:szCs w:val="22"/>
              </w:rPr>
            </w:pPr>
          </w:p>
          <w:p w:rsidR="00584814" w:rsidRPr="00584814" w:rsidRDefault="00584814" w:rsidP="00584814">
            <w:pPr>
              <w:suppressAutoHyphens/>
              <w:spacing w:line="1" w:lineRule="atLeast"/>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While working on the deliverable, the consultant is expected to learn and factor in needs of specialists, who will be using the handbook, and survivors as beneficiaries of employability support. Specifically, the consultant should conduct in-depth interviews with social workers, specialists of the State Employment Centre and UNFPA Career Hub consultants to:</w:t>
            </w:r>
          </w:p>
          <w:p w:rsidR="00584814" w:rsidRPr="00584814" w:rsidRDefault="00584814" w:rsidP="00584814">
            <w:pPr>
              <w:numPr>
                <w:ilvl w:val="0"/>
                <w:numId w:val="8"/>
              </w:numPr>
              <w:pBdr>
                <w:top w:val="nil"/>
                <w:left w:val="nil"/>
                <w:bottom w:val="nil"/>
                <w:right w:val="nil"/>
                <w:between w:val="nil"/>
              </w:pBdr>
              <w:suppressAutoHyphens/>
              <w:spacing w:line="1" w:lineRule="atLeast"/>
              <w:ind w:leftChars="-1" w:left="0" w:hangingChars="1" w:hanging="2"/>
              <w:contextualSpacing/>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explore their experiences of providing employability support to GBV survivors;</w:t>
            </w:r>
          </w:p>
          <w:p w:rsidR="00584814" w:rsidRPr="00584814" w:rsidRDefault="00584814" w:rsidP="00584814">
            <w:pPr>
              <w:numPr>
                <w:ilvl w:val="0"/>
                <w:numId w:val="8"/>
              </w:numPr>
              <w:pBdr>
                <w:top w:val="nil"/>
                <w:left w:val="nil"/>
                <w:bottom w:val="nil"/>
                <w:right w:val="nil"/>
                <w:between w:val="nil"/>
              </w:pBdr>
              <w:suppressAutoHyphens/>
              <w:spacing w:line="1" w:lineRule="atLeast"/>
              <w:ind w:leftChars="-1" w:left="0" w:hangingChars="1" w:hanging="2"/>
              <w:contextualSpacing/>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identify mechanisms/pathways of employability support provision to GBV survivors;</w:t>
            </w:r>
          </w:p>
          <w:p w:rsidR="00584814" w:rsidRPr="00584814" w:rsidRDefault="00584814" w:rsidP="00584814">
            <w:pPr>
              <w:numPr>
                <w:ilvl w:val="0"/>
                <w:numId w:val="8"/>
              </w:numPr>
              <w:pBdr>
                <w:top w:val="nil"/>
                <w:left w:val="nil"/>
                <w:bottom w:val="nil"/>
                <w:right w:val="nil"/>
                <w:between w:val="nil"/>
              </w:pBdr>
              <w:suppressAutoHyphens/>
              <w:spacing w:line="1" w:lineRule="atLeast"/>
              <w:ind w:leftChars="-1" w:left="0" w:hangingChars="1" w:hanging="2"/>
              <w:contextualSpacing/>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analyse GBV survivors’ experience of receiving employability support;</w:t>
            </w:r>
          </w:p>
          <w:p w:rsidR="00584814" w:rsidRPr="00584814" w:rsidRDefault="00584814" w:rsidP="00584814">
            <w:pPr>
              <w:numPr>
                <w:ilvl w:val="0"/>
                <w:numId w:val="8"/>
              </w:numPr>
              <w:pBdr>
                <w:top w:val="nil"/>
                <w:left w:val="nil"/>
                <w:bottom w:val="nil"/>
                <w:right w:val="nil"/>
                <w:between w:val="nil"/>
              </w:pBdr>
              <w:suppressAutoHyphens/>
              <w:spacing w:line="1" w:lineRule="atLeast"/>
              <w:ind w:leftChars="-1" w:left="0" w:hangingChars="1" w:hanging="2"/>
              <w:contextualSpacing/>
              <w:jc w:val="both"/>
              <w:textDirection w:val="btLr"/>
              <w:textAlignment w:val="top"/>
              <w:outlineLvl w:val="0"/>
              <w:rPr>
                <w:rFonts w:ascii="Calibri" w:eastAsia="Calibri" w:hAnsi="Calibri" w:cs="Calibri"/>
                <w:position w:val="-1"/>
                <w:sz w:val="22"/>
                <w:szCs w:val="22"/>
              </w:rPr>
            </w:pPr>
            <w:r w:rsidRPr="00584814">
              <w:rPr>
                <w:rFonts w:ascii="Calibri" w:eastAsia="Calibri" w:hAnsi="Calibri" w:cs="Calibri"/>
                <w:position w:val="-1"/>
                <w:sz w:val="22"/>
                <w:szCs w:val="22"/>
              </w:rPr>
              <w:t>identify gaps in knowledge and skills of specialists that could be addressed by the handbook and lead to improvement of employability assistance to GBV survivors.</w:t>
            </w:r>
          </w:p>
          <w:p w:rsidR="00584814" w:rsidRPr="00584814" w:rsidRDefault="00584814" w:rsidP="00584814">
            <w:pPr>
              <w:spacing w:line="1" w:lineRule="atLeast"/>
              <w:jc w:val="both"/>
              <w:rPr>
                <w:rFonts w:ascii="Calibri" w:eastAsia="Calibri" w:hAnsi="Calibri" w:cs="Calibri"/>
                <w:sz w:val="22"/>
                <w:szCs w:val="22"/>
              </w:rPr>
            </w:pPr>
          </w:p>
        </w:tc>
        <w:tc>
          <w:tcPr>
            <w:tcW w:w="1980" w:type="dxa"/>
            <w:shd w:val="clear" w:color="auto" w:fill="auto"/>
          </w:tcPr>
          <w:p w:rsidR="00584814" w:rsidRPr="00D03C6F" w:rsidRDefault="00584814" w:rsidP="00584814">
            <w:pPr>
              <w:rPr>
                <w:rFonts w:ascii="Calibri" w:hAnsi="Calibri" w:cs="Calibri"/>
                <w:sz w:val="22"/>
                <w:szCs w:val="22"/>
                <w:lang w:val="uk-UA"/>
              </w:rPr>
            </w:pPr>
          </w:p>
        </w:tc>
        <w:tc>
          <w:tcPr>
            <w:tcW w:w="1890" w:type="dxa"/>
            <w:shd w:val="clear" w:color="auto" w:fill="auto"/>
          </w:tcPr>
          <w:p w:rsidR="00584814" w:rsidRPr="00D03C6F" w:rsidRDefault="00584814" w:rsidP="00584814">
            <w:pPr>
              <w:rPr>
                <w:rFonts w:ascii="Calibri" w:hAnsi="Calibri" w:cs="Calibri"/>
                <w:sz w:val="22"/>
                <w:szCs w:val="22"/>
                <w:lang w:val="uk-UA"/>
              </w:rPr>
            </w:pPr>
          </w:p>
        </w:tc>
        <w:tc>
          <w:tcPr>
            <w:tcW w:w="1463" w:type="dxa"/>
            <w:shd w:val="clear" w:color="auto" w:fill="auto"/>
          </w:tcPr>
          <w:p w:rsidR="00584814" w:rsidRPr="00D03C6F" w:rsidRDefault="00584814" w:rsidP="00584814">
            <w:pPr>
              <w:rPr>
                <w:rFonts w:ascii="Calibri" w:hAnsi="Calibri" w:cs="Calibri"/>
                <w:sz w:val="22"/>
                <w:szCs w:val="22"/>
                <w:lang w:val="uk-UA"/>
              </w:rPr>
            </w:pPr>
          </w:p>
        </w:tc>
      </w:tr>
      <w:tr w:rsidR="00584814" w:rsidRPr="00D03C6F" w:rsidTr="00221111">
        <w:tc>
          <w:tcPr>
            <w:tcW w:w="524" w:type="dxa"/>
            <w:shd w:val="clear" w:color="auto" w:fill="auto"/>
          </w:tcPr>
          <w:p w:rsidR="00584814" w:rsidRPr="00D03C6F" w:rsidRDefault="00584814" w:rsidP="00584814">
            <w:pPr>
              <w:rPr>
                <w:rFonts w:ascii="Calibri" w:hAnsi="Calibri" w:cs="Calibri"/>
                <w:sz w:val="22"/>
                <w:szCs w:val="22"/>
                <w:lang w:val="uk-UA"/>
              </w:rPr>
            </w:pPr>
            <w:r w:rsidRPr="00D03C6F">
              <w:rPr>
                <w:rFonts w:ascii="Calibri" w:hAnsi="Calibri" w:cs="Calibri"/>
                <w:sz w:val="22"/>
                <w:szCs w:val="22"/>
                <w:lang w:val="uk-UA"/>
              </w:rPr>
              <w:t>2</w:t>
            </w:r>
          </w:p>
        </w:tc>
        <w:tc>
          <w:tcPr>
            <w:tcW w:w="4174" w:type="dxa"/>
            <w:shd w:val="clear" w:color="auto" w:fill="auto"/>
          </w:tcPr>
          <w:p w:rsidR="00584814" w:rsidRPr="00221111" w:rsidRDefault="00584814" w:rsidP="00584814">
            <w:pPr>
              <w:pStyle w:val="ListParagraph"/>
              <w:suppressAutoHyphens/>
              <w:spacing w:line="1" w:lineRule="atLeast"/>
              <w:ind w:left="0"/>
              <w:contextualSpacing/>
              <w:jc w:val="both"/>
              <w:textDirection w:val="btLr"/>
              <w:textAlignment w:val="top"/>
              <w:outlineLvl w:val="0"/>
              <w:rPr>
                <w:rFonts w:ascii="Calibri" w:eastAsia="Calibri" w:hAnsi="Calibri" w:cs="Calibri"/>
                <w:sz w:val="22"/>
                <w:szCs w:val="22"/>
                <w:lang w:val="en-US"/>
              </w:rPr>
            </w:pPr>
            <w:r w:rsidRPr="003E0238">
              <w:rPr>
                <w:rFonts w:ascii="Calibri" w:eastAsia="Calibri" w:hAnsi="Calibri" w:cs="Calibri"/>
                <w:b/>
                <w:sz w:val="22"/>
                <w:szCs w:val="22"/>
              </w:rPr>
              <w:t>Deliverable 2.</w:t>
            </w:r>
            <w:r>
              <w:rPr>
                <w:rFonts w:ascii="Calibri" w:eastAsia="Calibri" w:hAnsi="Calibri" w:cs="Calibri"/>
                <w:sz w:val="22"/>
                <w:szCs w:val="22"/>
              </w:rPr>
              <w:t xml:space="preserve"> </w:t>
            </w:r>
            <w:r w:rsidRPr="00584814">
              <w:rPr>
                <w:rFonts w:ascii="Calibri" w:eastAsia="Calibri" w:hAnsi="Calibri" w:cs="Calibri"/>
                <w:sz w:val="22"/>
                <w:szCs w:val="22"/>
              </w:rPr>
              <w:t xml:space="preserve">Development of methodology and relevant tools for evaluation of effectiveness of employability support to GBV survivors outlined in the </w:t>
            </w:r>
            <w:r w:rsidRPr="00584814">
              <w:rPr>
                <w:rFonts w:ascii="Calibri" w:eastAsia="Calibri" w:hAnsi="Calibri" w:cs="Calibri"/>
                <w:sz w:val="22"/>
                <w:szCs w:val="22"/>
              </w:rPr>
              <w:lastRenderedPageBreak/>
              <w:t>Handbook.</w:t>
            </w:r>
          </w:p>
        </w:tc>
        <w:tc>
          <w:tcPr>
            <w:tcW w:w="1980" w:type="dxa"/>
            <w:shd w:val="clear" w:color="auto" w:fill="auto"/>
          </w:tcPr>
          <w:p w:rsidR="00584814" w:rsidRPr="00D03C6F" w:rsidRDefault="00584814" w:rsidP="00584814">
            <w:pPr>
              <w:rPr>
                <w:rFonts w:ascii="Calibri" w:hAnsi="Calibri" w:cs="Calibri"/>
                <w:sz w:val="22"/>
                <w:szCs w:val="22"/>
                <w:lang w:val="uk-UA"/>
              </w:rPr>
            </w:pPr>
          </w:p>
        </w:tc>
        <w:tc>
          <w:tcPr>
            <w:tcW w:w="1890" w:type="dxa"/>
            <w:shd w:val="clear" w:color="auto" w:fill="auto"/>
          </w:tcPr>
          <w:p w:rsidR="00584814" w:rsidRPr="00D03C6F" w:rsidRDefault="00584814" w:rsidP="00584814">
            <w:pPr>
              <w:rPr>
                <w:rFonts w:ascii="Calibri" w:hAnsi="Calibri" w:cs="Calibri"/>
                <w:sz w:val="22"/>
                <w:szCs w:val="22"/>
                <w:lang w:val="uk-UA"/>
              </w:rPr>
            </w:pPr>
          </w:p>
        </w:tc>
        <w:tc>
          <w:tcPr>
            <w:tcW w:w="1463" w:type="dxa"/>
            <w:shd w:val="clear" w:color="auto" w:fill="auto"/>
          </w:tcPr>
          <w:p w:rsidR="00584814" w:rsidRPr="00D03C6F" w:rsidRDefault="00584814" w:rsidP="00584814">
            <w:pPr>
              <w:rPr>
                <w:rFonts w:ascii="Calibri" w:hAnsi="Calibri" w:cs="Calibri"/>
                <w:sz w:val="22"/>
                <w:szCs w:val="22"/>
                <w:lang w:val="uk-UA"/>
              </w:rPr>
            </w:pPr>
          </w:p>
        </w:tc>
      </w:tr>
      <w:tr w:rsidR="00584814" w:rsidRPr="00D03C6F" w:rsidTr="00221111">
        <w:tc>
          <w:tcPr>
            <w:tcW w:w="524" w:type="dxa"/>
            <w:shd w:val="clear" w:color="auto" w:fill="auto"/>
          </w:tcPr>
          <w:p w:rsidR="00584814" w:rsidRPr="00D03C6F" w:rsidRDefault="00584814" w:rsidP="00584814">
            <w:pPr>
              <w:rPr>
                <w:rFonts w:ascii="Calibri" w:hAnsi="Calibri" w:cs="Calibri"/>
                <w:sz w:val="22"/>
                <w:szCs w:val="22"/>
                <w:lang w:val="uk-UA"/>
              </w:rPr>
            </w:pPr>
            <w:r w:rsidRPr="00D03C6F">
              <w:rPr>
                <w:rFonts w:ascii="Calibri" w:hAnsi="Calibri" w:cs="Calibri"/>
                <w:sz w:val="22"/>
                <w:szCs w:val="22"/>
                <w:lang w:val="uk-UA"/>
              </w:rPr>
              <w:t>3</w:t>
            </w:r>
          </w:p>
        </w:tc>
        <w:tc>
          <w:tcPr>
            <w:tcW w:w="4174" w:type="dxa"/>
            <w:shd w:val="clear" w:color="auto" w:fill="auto"/>
          </w:tcPr>
          <w:p w:rsidR="00584814" w:rsidRPr="00D03C6F" w:rsidRDefault="00584814" w:rsidP="00584814">
            <w:pPr>
              <w:rPr>
                <w:rFonts w:ascii="Calibri" w:hAnsi="Calibri" w:cs="Calibri"/>
                <w:sz w:val="22"/>
                <w:szCs w:val="22"/>
                <w:lang w:val="uk-UA"/>
              </w:rPr>
            </w:pPr>
            <w:r w:rsidRPr="003E0238">
              <w:rPr>
                <w:rFonts w:ascii="Calibri" w:eastAsia="Calibri" w:hAnsi="Calibri" w:cs="Calibri"/>
                <w:b/>
                <w:sz w:val="22"/>
                <w:szCs w:val="22"/>
              </w:rPr>
              <w:t>Deliverable 3.</w:t>
            </w:r>
            <w:r>
              <w:rPr>
                <w:rFonts w:ascii="Calibri" w:eastAsia="Calibri" w:hAnsi="Calibri" w:cs="Calibri"/>
                <w:sz w:val="22"/>
                <w:szCs w:val="22"/>
              </w:rPr>
              <w:t xml:space="preserve"> </w:t>
            </w:r>
            <w:r w:rsidRPr="00584814">
              <w:rPr>
                <w:rFonts w:ascii="Calibri" w:eastAsia="Calibri" w:hAnsi="Calibri" w:cs="Calibri"/>
                <w:sz w:val="22"/>
                <w:szCs w:val="22"/>
              </w:rPr>
              <w:t>Based on the Handbook, a set of training materials on provision of effective employability support to GBV survivors. The materials should include: (1) training agenda (for a half-a-day session), (2) PowerPoint Presentation for the training session, (3) brief guidelines for trainers, (4) hand-outs for participants.</w:t>
            </w:r>
          </w:p>
        </w:tc>
        <w:tc>
          <w:tcPr>
            <w:tcW w:w="1980" w:type="dxa"/>
            <w:shd w:val="clear" w:color="auto" w:fill="auto"/>
          </w:tcPr>
          <w:p w:rsidR="00584814" w:rsidRPr="00D03C6F" w:rsidRDefault="00584814" w:rsidP="00584814">
            <w:pPr>
              <w:rPr>
                <w:rFonts w:ascii="Calibri" w:hAnsi="Calibri" w:cs="Calibri"/>
                <w:sz w:val="22"/>
                <w:szCs w:val="22"/>
                <w:lang w:val="uk-UA"/>
              </w:rPr>
            </w:pPr>
          </w:p>
        </w:tc>
        <w:tc>
          <w:tcPr>
            <w:tcW w:w="1890" w:type="dxa"/>
            <w:shd w:val="clear" w:color="auto" w:fill="auto"/>
          </w:tcPr>
          <w:p w:rsidR="00584814" w:rsidRPr="00D03C6F" w:rsidRDefault="00584814" w:rsidP="00584814">
            <w:pPr>
              <w:rPr>
                <w:rFonts w:ascii="Calibri" w:hAnsi="Calibri" w:cs="Calibri"/>
                <w:sz w:val="22"/>
                <w:szCs w:val="22"/>
                <w:lang w:val="uk-UA"/>
              </w:rPr>
            </w:pPr>
          </w:p>
        </w:tc>
        <w:tc>
          <w:tcPr>
            <w:tcW w:w="1463" w:type="dxa"/>
            <w:shd w:val="clear" w:color="auto" w:fill="auto"/>
          </w:tcPr>
          <w:p w:rsidR="00584814" w:rsidRPr="00D03C6F" w:rsidRDefault="00584814" w:rsidP="00584814">
            <w:pPr>
              <w:rPr>
                <w:rFonts w:ascii="Calibri" w:hAnsi="Calibri" w:cs="Calibri"/>
                <w:sz w:val="22"/>
                <w:szCs w:val="22"/>
                <w:lang w:val="uk-UA"/>
              </w:rPr>
            </w:pPr>
          </w:p>
        </w:tc>
      </w:tr>
      <w:tr w:rsidR="00584814" w:rsidRPr="00D03C6F" w:rsidTr="00221111">
        <w:tc>
          <w:tcPr>
            <w:tcW w:w="524" w:type="dxa"/>
            <w:shd w:val="clear" w:color="auto" w:fill="auto"/>
          </w:tcPr>
          <w:p w:rsidR="00584814" w:rsidRPr="00E60754" w:rsidRDefault="00584814" w:rsidP="00584814">
            <w:pPr>
              <w:rPr>
                <w:rFonts w:ascii="Calibri" w:hAnsi="Calibri" w:cs="Calibri"/>
                <w:sz w:val="22"/>
                <w:szCs w:val="22"/>
                <w:lang w:val="en-US"/>
              </w:rPr>
            </w:pPr>
            <w:r>
              <w:rPr>
                <w:rFonts w:ascii="Calibri" w:hAnsi="Calibri" w:cs="Calibri"/>
                <w:sz w:val="22"/>
                <w:szCs w:val="22"/>
                <w:lang w:val="en-US"/>
              </w:rPr>
              <w:t>4</w:t>
            </w:r>
          </w:p>
        </w:tc>
        <w:tc>
          <w:tcPr>
            <w:tcW w:w="4174" w:type="dxa"/>
            <w:shd w:val="clear" w:color="auto" w:fill="auto"/>
          </w:tcPr>
          <w:p w:rsidR="00584814" w:rsidRPr="00221111" w:rsidRDefault="00584814" w:rsidP="00584814">
            <w:pPr>
              <w:pBdr>
                <w:top w:val="nil"/>
                <w:left w:val="nil"/>
                <w:bottom w:val="nil"/>
                <w:right w:val="nil"/>
                <w:between w:val="nil"/>
              </w:pBdr>
              <w:ind w:hanging="2"/>
              <w:jc w:val="both"/>
              <w:rPr>
                <w:rFonts w:ascii="Calibri" w:eastAsia="Calibri" w:hAnsi="Calibri" w:cs="Calibri"/>
                <w:sz w:val="22"/>
                <w:szCs w:val="22"/>
              </w:rPr>
            </w:pPr>
            <w:r w:rsidRPr="00D03C6F">
              <w:rPr>
                <w:rFonts w:ascii="Calibri" w:hAnsi="Calibri" w:cs="Calibri"/>
                <w:sz w:val="22"/>
                <w:szCs w:val="22"/>
                <w:lang w:val="uk-UA"/>
              </w:rPr>
              <w:t xml:space="preserve"> </w:t>
            </w:r>
            <w:r w:rsidRPr="003E0238">
              <w:rPr>
                <w:rFonts w:ascii="Calibri" w:eastAsia="Calibri" w:hAnsi="Calibri" w:cs="Calibri"/>
                <w:b/>
                <w:sz w:val="22"/>
                <w:szCs w:val="22"/>
              </w:rPr>
              <w:t>Deliverable 4.</w:t>
            </w:r>
            <w:r>
              <w:rPr>
                <w:rFonts w:ascii="Calibri" w:eastAsia="Calibri" w:hAnsi="Calibri" w:cs="Calibri"/>
                <w:sz w:val="22"/>
                <w:szCs w:val="22"/>
              </w:rPr>
              <w:t xml:space="preserve"> </w:t>
            </w:r>
            <w:r w:rsidRPr="00584814">
              <w:rPr>
                <w:rFonts w:ascii="Calibri" w:eastAsia="Calibri" w:hAnsi="Calibri" w:cs="Calibri"/>
                <w:sz w:val="22"/>
                <w:szCs w:val="22"/>
              </w:rPr>
              <w:t>Two pilot training sessions conducted to specialists (one session for social workers that provide assistance to GBV survivors, another one is for State Employment Centre specialists) on provision of effective employability support to GBV survivors. Brief report (up to 3 pages) with reflections and lessons learned from the training sessions should be prepared as part of this deliverable.</w:t>
            </w:r>
          </w:p>
        </w:tc>
        <w:tc>
          <w:tcPr>
            <w:tcW w:w="1980" w:type="dxa"/>
            <w:shd w:val="clear" w:color="auto" w:fill="auto"/>
          </w:tcPr>
          <w:p w:rsidR="00584814" w:rsidRPr="00D03C6F" w:rsidRDefault="00584814" w:rsidP="00584814">
            <w:pPr>
              <w:rPr>
                <w:rFonts w:ascii="Calibri" w:hAnsi="Calibri" w:cs="Calibri"/>
                <w:sz w:val="22"/>
                <w:szCs w:val="22"/>
                <w:lang w:val="uk-UA"/>
              </w:rPr>
            </w:pPr>
          </w:p>
        </w:tc>
        <w:tc>
          <w:tcPr>
            <w:tcW w:w="1890" w:type="dxa"/>
            <w:shd w:val="clear" w:color="auto" w:fill="auto"/>
          </w:tcPr>
          <w:p w:rsidR="00584814" w:rsidRPr="00D03C6F" w:rsidRDefault="00584814" w:rsidP="00584814">
            <w:pPr>
              <w:rPr>
                <w:rFonts w:ascii="Calibri" w:hAnsi="Calibri" w:cs="Calibri"/>
                <w:sz w:val="22"/>
                <w:szCs w:val="22"/>
                <w:lang w:val="uk-UA"/>
              </w:rPr>
            </w:pPr>
          </w:p>
        </w:tc>
        <w:tc>
          <w:tcPr>
            <w:tcW w:w="1463" w:type="dxa"/>
            <w:shd w:val="clear" w:color="auto" w:fill="auto"/>
          </w:tcPr>
          <w:p w:rsidR="00584814" w:rsidRPr="00D03C6F" w:rsidRDefault="00584814" w:rsidP="00584814">
            <w:pPr>
              <w:rPr>
                <w:rFonts w:ascii="Calibri" w:hAnsi="Calibri" w:cs="Calibri"/>
                <w:sz w:val="22"/>
                <w:szCs w:val="22"/>
                <w:lang w:val="uk-UA"/>
              </w:rPr>
            </w:pPr>
          </w:p>
        </w:tc>
      </w:tr>
      <w:tr w:rsidR="00584814" w:rsidRPr="00D03C6F" w:rsidTr="00221111">
        <w:tc>
          <w:tcPr>
            <w:tcW w:w="524" w:type="dxa"/>
            <w:shd w:val="clear" w:color="auto" w:fill="auto"/>
          </w:tcPr>
          <w:p w:rsidR="00584814" w:rsidRPr="000249C8" w:rsidRDefault="00584814" w:rsidP="00584814">
            <w:pPr>
              <w:rPr>
                <w:rFonts w:ascii="Calibri" w:hAnsi="Calibri" w:cs="Calibri"/>
                <w:sz w:val="22"/>
                <w:szCs w:val="22"/>
                <w:lang w:val="en-US"/>
              </w:rPr>
            </w:pPr>
            <w:r>
              <w:rPr>
                <w:rFonts w:ascii="Calibri" w:hAnsi="Calibri" w:cs="Calibri"/>
                <w:sz w:val="22"/>
                <w:szCs w:val="22"/>
                <w:lang w:val="en-US"/>
              </w:rPr>
              <w:t xml:space="preserve">5. </w:t>
            </w:r>
          </w:p>
        </w:tc>
        <w:tc>
          <w:tcPr>
            <w:tcW w:w="4174" w:type="dxa"/>
            <w:shd w:val="clear" w:color="auto" w:fill="auto"/>
          </w:tcPr>
          <w:p w:rsidR="00584814" w:rsidRPr="00221111" w:rsidRDefault="00584814" w:rsidP="00584814">
            <w:pPr>
              <w:ind w:hanging="2"/>
              <w:jc w:val="both"/>
              <w:rPr>
                <w:rFonts w:ascii="Calibri" w:eastAsia="Calibri" w:hAnsi="Calibri" w:cs="Calibri"/>
                <w:sz w:val="22"/>
                <w:szCs w:val="22"/>
              </w:rPr>
            </w:pPr>
            <w:r>
              <w:rPr>
                <w:rFonts w:ascii="Calibri" w:eastAsia="Calibri" w:hAnsi="Calibri" w:cs="Calibri"/>
                <w:b/>
                <w:sz w:val="22"/>
                <w:szCs w:val="22"/>
              </w:rPr>
              <w:t>Deliverable 5</w:t>
            </w:r>
            <w:r w:rsidRPr="003E0238">
              <w:rPr>
                <w:rFonts w:ascii="Calibri" w:eastAsia="Calibri" w:hAnsi="Calibri" w:cs="Calibri"/>
                <w:b/>
                <w:sz w:val="22"/>
                <w:szCs w:val="22"/>
              </w:rPr>
              <w:t>.</w:t>
            </w:r>
            <w:r>
              <w:rPr>
                <w:rFonts w:ascii="Calibri" w:eastAsia="Calibri" w:hAnsi="Calibri" w:cs="Calibri"/>
                <w:b/>
                <w:sz w:val="22"/>
                <w:szCs w:val="22"/>
              </w:rPr>
              <w:t xml:space="preserve"> </w:t>
            </w:r>
            <w:r w:rsidRPr="00584814">
              <w:rPr>
                <w:rFonts w:ascii="Calibri" w:eastAsia="Calibri" w:hAnsi="Calibri" w:cs="Calibri"/>
                <w:sz w:val="22"/>
                <w:szCs w:val="22"/>
              </w:rPr>
              <w:t>Informed by the post-training report, finalised conceptual handbook on provision of effective employability support to GBV survivors, including methodology and relevant tools of evaluation of effectiveness of proposed support.</w:t>
            </w:r>
          </w:p>
        </w:tc>
        <w:tc>
          <w:tcPr>
            <w:tcW w:w="1980" w:type="dxa"/>
            <w:shd w:val="clear" w:color="auto" w:fill="auto"/>
          </w:tcPr>
          <w:p w:rsidR="00584814" w:rsidRDefault="00584814" w:rsidP="00584814">
            <w:pPr>
              <w:rPr>
                <w:rFonts w:ascii="Calibri" w:hAnsi="Calibri" w:cs="Calibri"/>
                <w:sz w:val="22"/>
                <w:szCs w:val="22"/>
                <w:lang w:val="en-US"/>
              </w:rPr>
            </w:pPr>
          </w:p>
        </w:tc>
        <w:tc>
          <w:tcPr>
            <w:tcW w:w="1890" w:type="dxa"/>
            <w:shd w:val="clear" w:color="auto" w:fill="auto"/>
          </w:tcPr>
          <w:p w:rsidR="00584814" w:rsidRPr="00D03C6F" w:rsidRDefault="00584814" w:rsidP="00584814">
            <w:pPr>
              <w:rPr>
                <w:rFonts w:ascii="Calibri" w:hAnsi="Calibri" w:cs="Calibri"/>
                <w:sz w:val="22"/>
                <w:szCs w:val="22"/>
                <w:lang w:val="uk-UA"/>
              </w:rPr>
            </w:pPr>
          </w:p>
        </w:tc>
        <w:tc>
          <w:tcPr>
            <w:tcW w:w="1463" w:type="dxa"/>
            <w:shd w:val="clear" w:color="auto" w:fill="auto"/>
          </w:tcPr>
          <w:p w:rsidR="00584814" w:rsidRPr="00D03C6F" w:rsidRDefault="00584814" w:rsidP="00584814">
            <w:pPr>
              <w:rPr>
                <w:rFonts w:ascii="Calibri" w:hAnsi="Calibri" w:cs="Calibri"/>
                <w:sz w:val="22"/>
                <w:szCs w:val="22"/>
                <w:lang w:val="uk-UA"/>
              </w:rPr>
            </w:pPr>
          </w:p>
        </w:tc>
      </w:tr>
    </w:tbl>
    <w:p w:rsidR="001C0B99" w:rsidRPr="00D03C6F" w:rsidRDefault="001C0B99" w:rsidP="00E670C3">
      <w:pPr>
        <w:rPr>
          <w:rFonts w:ascii="Calibri" w:hAnsi="Calibri" w:cs="Calibri"/>
          <w:sz w:val="22"/>
          <w:szCs w:val="22"/>
          <w:lang w:val="uk-UA"/>
        </w:rPr>
      </w:pPr>
    </w:p>
    <w:sectPr w:rsidR="001C0B99" w:rsidRPr="00D03C6F"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BA" w:rsidRDefault="008700BA">
      <w:r>
        <w:separator/>
      </w:r>
    </w:p>
  </w:endnote>
  <w:endnote w:type="continuationSeparator" w:id="0">
    <w:p w:rsidR="008700BA" w:rsidRDefault="0087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BA" w:rsidRDefault="008700BA">
      <w:r>
        <w:separator/>
      </w:r>
    </w:p>
  </w:footnote>
  <w:footnote w:type="continuationSeparator" w:id="0">
    <w:p w:rsidR="008700BA" w:rsidRDefault="0087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215"/>
    <w:multiLevelType w:val="hybridMultilevel"/>
    <w:tmpl w:val="1D98C166"/>
    <w:lvl w:ilvl="0" w:tplc="8C201DC2">
      <w:start w:val="1"/>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319C7694"/>
    <w:multiLevelType w:val="hybridMultilevel"/>
    <w:tmpl w:val="A8787B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3B3BFA"/>
    <w:multiLevelType w:val="hybridMultilevel"/>
    <w:tmpl w:val="5A5276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5E27D4"/>
    <w:multiLevelType w:val="multilevel"/>
    <w:tmpl w:val="6E122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BC720F"/>
    <w:multiLevelType w:val="hybridMultilevel"/>
    <w:tmpl w:val="1270BC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5C03279"/>
    <w:multiLevelType w:val="hybridMultilevel"/>
    <w:tmpl w:val="476A4238"/>
    <w:lvl w:ilvl="0" w:tplc="04090001">
      <w:start w:val="1"/>
      <w:numFmt w:val="bullet"/>
      <w:lvlText w:val=""/>
      <w:lvlJc w:val="left"/>
      <w:pPr>
        <w:ind w:left="720" w:hanging="360"/>
      </w:pPr>
      <w:rPr>
        <w:rFonts w:ascii="Symbol" w:hAnsi="Symbol" w:hint="default"/>
      </w:rPr>
    </w:lvl>
    <w:lvl w:ilvl="1" w:tplc="DDCA30A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6783A"/>
    <w:multiLevelType w:val="hybridMultilevel"/>
    <w:tmpl w:val="4FE8C884"/>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7"/>
  </w:num>
  <w:num w:numId="7">
    <w:abstractNumId w:val="0"/>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B4D"/>
    <w:rsid w:val="00001D34"/>
    <w:rsid w:val="00004EBB"/>
    <w:rsid w:val="000059AB"/>
    <w:rsid w:val="00010006"/>
    <w:rsid w:val="00010511"/>
    <w:rsid w:val="00017A74"/>
    <w:rsid w:val="0002061A"/>
    <w:rsid w:val="00023B72"/>
    <w:rsid w:val="00024443"/>
    <w:rsid w:val="00024731"/>
    <w:rsid w:val="000249C8"/>
    <w:rsid w:val="00025085"/>
    <w:rsid w:val="000316CB"/>
    <w:rsid w:val="00031EBC"/>
    <w:rsid w:val="00033EE8"/>
    <w:rsid w:val="0004068F"/>
    <w:rsid w:val="00042CED"/>
    <w:rsid w:val="00042FBE"/>
    <w:rsid w:val="0004566B"/>
    <w:rsid w:val="00047F28"/>
    <w:rsid w:val="0005533B"/>
    <w:rsid w:val="00060BBA"/>
    <w:rsid w:val="00060D1D"/>
    <w:rsid w:val="00061DD3"/>
    <w:rsid w:val="00062691"/>
    <w:rsid w:val="000704AF"/>
    <w:rsid w:val="0007464B"/>
    <w:rsid w:val="0007723C"/>
    <w:rsid w:val="00080844"/>
    <w:rsid w:val="000859AA"/>
    <w:rsid w:val="0009348D"/>
    <w:rsid w:val="0009617F"/>
    <w:rsid w:val="00097EE9"/>
    <w:rsid w:val="000A0423"/>
    <w:rsid w:val="000A0C0D"/>
    <w:rsid w:val="000A2C33"/>
    <w:rsid w:val="000A5B2C"/>
    <w:rsid w:val="000B5F58"/>
    <w:rsid w:val="000B606F"/>
    <w:rsid w:val="000C3395"/>
    <w:rsid w:val="000D0633"/>
    <w:rsid w:val="000D2521"/>
    <w:rsid w:val="000D2AAD"/>
    <w:rsid w:val="000D30D3"/>
    <w:rsid w:val="000D42E4"/>
    <w:rsid w:val="000D6710"/>
    <w:rsid w:val="000E345E"/>
    <w:rsid w:val="000E5DA0"/>
    <w:rsid w:val="000E5F9A"/>
    <w:rsid w:val="000E67CD"/>
    <w:rsid w:val="000E6D0B"/>
    <w:rsid w:val="000F4E41"/>
    <w:rsid w:val="000F5261"/>
    <w:rsid w:val="00102056"/>
    <w:rsid w:val="00103ACB"/>
    <w:rsid w:val="00104560"/>
    <w:rsid w:val="0010552E"/>
    <w:rsid w:val="00113252"/>
    <w:rsid w:val="001152A2"/>
    <w:rsid w:val="00117A6B"/>
    <w:rsid w:val="0012733B"/>
    <w:rsid w:val="00132819"/>
    <w:rsid w:val="0013415A"/>
    <w:rsid w:val="00141676"/>
    <w:rsid w:val="001416C5"/>
    <w:rsid w:val="0014380A"/>
    <w:rsid w:val="00151808"/>
    <w:rsid w:val="00151BA1"/>
    <w:rsid w:val="0015205B"/>
    <w:rsid w:val="001602DE"/>
    <w:rsid w:val="00161275"/>
    <w:rsid w:val="0016148C"/>
    <w:rsid w:val="001711DB"/>
    <w:rsid w:val="00171A3E"/>
    <w:rsid w:val="0017222B"/>
    <w:rsid w:val="001728F7"/>
    <w:rsid w:val="00172DBA"/>
    <w:rsid w:val="00176EE3"/>
    <w:rsid w:val="001824B6"/>
    <w:rsid w:val="00183075"/>
    <w:rsid w:val="00183771"/>
    <w:rsid w:val="00184472"/>
    <w:rsid w:val="0018616B"/>
    <w:rsid w:val="00187621"/>
    <w:rsid w:val="0019025C"/>
    <w:rsid w:val="00191705"/>
    <w:rsid w:val="001924F2"/>
    <w:rsid w:val="001937A9"/>
    <w:rsid w:val="001A036E"/>
    <w:rsid w:val="001A03AB"/>
    <w:rsid w:val="001A0F89"/>
    <w:rsid w:val="001A1BC8"/>
    <w:rsid w:val="001A3CB7"/>
    <w:rsid w:val="001A533B"/>
    <w:rsid w:val="001A6DF6"/>
    <w:rsid w:val="001A7E63"/>
    <w:rsid w:val="001B1804"/>
    <w:rsid w:val="001B19FD"/>
    <w:rsid w:val="001B3CF3"/>
    <w:rsid w:val="001B7014"/>
    <w:rsid w:val="001C0B99"/>
    <w:rsid w:val="001C3D35"/>
    <w:rsid w:val="001C40EF"/>
    <w:rsid w:val="001C53A4"/>
    <w:rsid w:val="001C5D96"/>
    <w:rsid w:val="001C5F76"/>
    <w:rsid w:val="001D1299"/>
    <w:rsid w:val="001D3E14"/>
    <w:rsid w:val="001D51DD"/>
    <w:rsid w:val="001D643F"/>
    <w:rsid w:val="001D753F"/>
    <w:rsid w:val="001E0571"/>
    <w:rsid w:val="001E55F1"/>
    <w:rsid w:val="001F0B8D"/>
    <w:rsid w:val="001F1D4C"/>
    <w:rsid w:val="001F2C1B"/>
    <w:rsid w:val="001F367D"/>
    <w:rsid w:val="0020137F"/>
    <w:rsid w:val="00203D9C"/>
    <w:rsid w:val="0020462F"/>
    <w:rsid w:val="00210056"/>
    <w:rsid w:val="00210129"/>
    <w:rsid w:val="0021067F"/>
    <w:rsid w:val="00212446"/>
    <w:rsid w:val="00213228"/>
    <w:rsid w:val="00213D1E"/>
    <w:rsid w:val="00215089"/>
    <w:rsid w:val="00217803"/>
    <w:rsid w:val="00221111"/>
    <w:rsid w:val="0022378A"/>
    <w:rsid w:val="00236E16"/>
    <w:rsid w:val="00240181"/>
    <w:rsid w:val="00240363"/>
    <w:rsid w:val="0024067E"/>
    <w:rsid w:val="00241A64"/>
    <w:rsid w:val="0024568C"/>
    <w:rsid w:val="00245B75"/>
    <w:rsid w:val="00245F54"/>
    <w:rsid w:val="00246EAB"/>
    <w:rsid w:val="0024726B"/>
    <w:rsid w:val="002478A9"/>
    <w:rsid w:val="00250035"/>
    <w:rsid w:val="002500A1"/>
    <w:rsid w:val="00250F32"/>
    <w:rsid w:val="00255CC0"/>
    <w:rsid w:val="00256406"/>
    <w:rsid w:val="00256587"/>
    <w:rsid w:val="0026534E"/>
    <w:rsid w:val="00267282"/>
    <w:rsid w:val="00270EAB"/>
    <w:rsid w:val="00273279"/>
    <w:rsid w:val="00275001"/>
    <w:rsid w:val="00275459"/>
    <w:rsid w:val="002763C6"/>
    <w:rsid w:val="002814C4"/>
    <w:rsid w:val="00282B22"/>
    <w:rsid w:val="00284653"/>
    <w:rsid w:val="00285171"/>
    <w:rsid w:val="002933DE"/>
    <w:rsid w:val="0029429B"/>
    <w:rsid w:val="00294C63"/>
    <w:rsid w:val="0029580D"/>
    <w:rsid w:val="00295CB7"/>
    <w:rsid w:val="00296F68"/>
    <w:rsid w:val="00297467"/>
    <w:rsid w:val="002A213B"/>
    <w:rsid w:val="002A21A4"/>
    <w:rsid w:val="002A66EF"/>
    <w:rsid w:val="002A7888"/>
    <w:rsid w:val="002B2A3E"/>
    <w:rsid w:val="002B36AC"/>
    <w:rsid w:val="002B38BA"/>
    <w:rsid w:val="002B719D"/>
    <w:rsid w:val="002D1AF0"/>
    <w:rsid w:val="002D4C73"/>
    <w:rsid w:val="002D52EE"/>
    <w:rsid w:val="002E1BFE"/>
    <w:rsid w:val="002E5311"/>
    <w:rsid w:val="002E70C1"/>
    <w:rsid w:val="002F1761"/>
    <w:rsid w:val="002F1B14"/>
    <w:rsid w:val="002F3147"/>
    <w:rsid w:val="002F31A2"/>
    <w:rsid w:val="002F3B85"/>
    <w:rsid w:val="002F4C39"/>
    <w:rsid w:val="002F624B"/>
    <w:rsid w:val="002F7430"/>
    <w:rsid w:val="00300F32"/>
    <w:rsid w:val="0030275C"/>
    <w:rsid w:val="00307458"/>
    <w:rsid w:val="00307F6E"/>
    <w:rsid w:val="00313F74"/>
    <w:rsid w:val="0031409A"/>
    <w:rsid w:val="0031571C"/>
    <w:rsid w:val="003166B6"/>
    <w:rsid w:val="0031685B"/>
    <w:rsid w:val="00321ADF"/>
    <w:rsid w:val="00321BD8"/>
    <w:rsid w:val="0033019E"/>
    <w:rsid w:val="003306FC"/>
    <w:rsid w:val="00330B36"/>
    <w:rsid w:val="00330E24"/>
    <w:rsid w:val="00333CF8"/>
    <w:rsid w:val="003415F3"/>
    <w:rsid w:val="0035061A"/>
    <w:rsid w:val="003509A0"/>
    <w:rsid w:val="0035621B"/>
    <w:rsid w:val="00357F60"/>
    <w:rsid w:val="00363629"/>
    <w:rsid w:val="0036473B"/>
    <w:rsid w:val="00364C40"/>
    <w:rsid w:val="003712CB"/>
    <w:rsid w:val="00372821"/>
    <w:rsid w:val="00372D82"/>
    <w:rsid w:val="00374B13"/>
    <w:rsid w:val="003750FC"/>
    <w:rsid w:val="00375126"/>
    <w:rsid w:val="00381A0E"/>
    <w:rsid w:val="0038286A"/>
    <w:rsid w:val="003866E9"/>
    <w:rsid w:val="003872A8"/>
    <w:rsid w:val="00387527"/>
    <w:rsid w:val="00390ED4"/>
    <w:rsid w:val="003915FA"/>
    <w:rsid w:val="00391636"/>
    <w:rsid w:val="003934C2"/>
    <w:rsid w:val="00393B99"/>
    <w:rsid w:val="00396E12"/>
    <w:rsid w:val="003A1320"/>
    <w:rsid w:val="003A4E37"/>
    <w:rsid w:val="003A5298"/>
    <w:rsid w:val="003A5ECC"/>
    <w:rsid w:val="003A7767"/>
    <w:rsid w:val="003B1509"/>
    <w:rsid w:val="003B29E6"/>
    <w:rsid w:val="003B2EB2"/>
    <w:rsid w:val="003B3F8A"/>
    <w:rsid w:val="003C1B02"/>
    <w:rsid w:val="003C20B7"/>
    <w:rsid w:val="003C4D55"/>
    <w:rsid w:val="003C558E"/>
    <w:rsid w:val="003C624D"/>
    <w:rsid w:val="003D0433"/>
    <w:rsid w:val="003D1E52"/>
    <w:rsid w:val="003D2461"/>
    <w:rsid w:val="003D3499"/>
    <w:rsid w:val="003E0953"/>
    <w:rsid w:val="003E2306"/>
    <w:rsid w:val="003E478E"/>
    <w:rsid w:val="003E5EBE"/>
    <w:rsid w:val="003F1132"/>
    <w:rsid w:val="003F7798"/>
    <w:rsid w:val="003F7E64"/>
    <w:rsid w:val="0040033F"/>
    <w:rsid w:val="00400D44"/>
    <w:rsid w:val="00405F12"/>
    <w:rsid w:val="00406925"/>
    <w:rsid w:val="0041393A"/>
    <w:rsid w:val="004168C4"/>
    <w:rsid w:val="00421F5B"/>
    <w:rsid w:val="004234A5"/>
    <w:rsid w:val="00423C45"/>
    <w:rsid w:val="004258E4"/>
    <w:rsid w:val="0044253D"/>
    <w:rsid w:val="00444B0E"/>
    <w:rsid w:val="00446CA0"/>
    <w:rsid w:val="00446D98"/>
    <w:rsid w:val="00450EB2"/>
    <w:rsid w:val="00453D96"/>
    <w:rsid w:val="00454EB6"/>
    <w:rsid w:val="00457E7B"/>
    <w:rsid w:val="00460CE3"/>
    <w:rsid w:val="004628B8"/>
    <w:rsid w:val="00471FBB"/>
    <w:rsid w:val="004727BC"/>
    <w:rsid w:val="0047374E"/>
    <w:rsid w:val="00475678"/>
    <w:rsid w:val="00476161"/>
    <w:rsid w:val="00481084"/>
    <w:rsid w:val="00483BBD"/>
    <w:rsid w:val="004860DB"/>
    <w:rsid w:val="00486B75"/>
    <w:rsid w:val="0049017C"/>
    <w:rsid w:val="00493F5F"/>
    <w:rsid w:val="00497C7D"/>
    <w:rsid w:val="004A11ED"/>
    <w:rsid w:val="004A14D6"/>
    <w:rsid w:val="004A429C"/>
    <w:rsid w:val="004A53C5"/>
    <w:rsid w:val="004A6AC1"/>
    <w:rsid w:val="004B14F9"/>
    <w:rsid w:val="004B1A0E"/>
    <w:rsid w:val="004B2689"/>
    <w:rsid w:val="004B3CA7"/>
    <w:rsid w:val="004B606C"/>
    <w:rsid w:val="004B69DA"/>
    <w:rsid w:val="004C0D55"/>
    <w:rsid w:val="004C22E0"/>
    <w:rsid w:val="004C3E8B"/>
    <w:rsid w:val="004C3E96"/>
    <w:rsid w:val="004C45A3"/>
    <w:rsid w:val="004C49DF"/>
    <w:rsid w:val="004C4CF9"/>
    <w:rsid w:val="004C66C5"/>
    <w:rsid w:val="004D2B9A"/>
    <w:rsid w:val="004D3752"/>
    <w:rsid w:val="004D4D6F"/>
    <w:rsid w:val="004D5639"/>
    <w:rsid w:val="004E3B9A"/>
    <w:rsid w:val="004E3C88"/>
    <w:rsid w:val="004E4F62"/>
    <w:rsid w:val="004E6460"/>
    <w:rsid w:val="004E68DF"/>
    <w:rsid w:val="004F032C"/>
    <w:rsid w:val="004F1982"/>
    <w:rsid w:val="004F27BD"/>
    <w:rsid w:val="004F361D"/>
    <w:rsid w:val="004F629C"/>
    <w:rsid w:val="004F68D7"/>
    <w:rsid w:val="004F6A9A"/>
    <w:rsid w:val="00500195"/>
    <w:rsid w:val="0050139E"/>
    <w:rsid w:val="0050238E"/>
    <w:rsid w:val="00502677"/>
    <w:rsid w:val="00502D23"/>
    <w:rsid w:val="00505686"/>
    <w:rsid w:val="00506C94"/>
    <w:rsid w:val="00512C4C"/>
    <w:rsid w:val="00514227"/>
    <w:rsid w:val="005156E0"/>
    <w:rsid w:val="005208CB"/>
    <w:rsid w:val="00521395"/>
    <w:rsid w:val="00523C5B"/>
    <w:rsid w:val="00523E4C"/>
    <w:rsid w:val="00527D16"/>
    <w:rsid w:val="005316AE"/>
    <w:rsid w:val="00532510"/>
    <w:rsid w:val="0053386D"/>
    <w:rsid w:val="00533917"/>
    <w:rsid w:val="005352A3"/>
    <w:rsid w:val="005412FD"/>
    <w:rsid w:val="0054147C"/>
    <w:rsid w:val="005460F8"/>
    <w:rsid w:val="00546B37"/>
    <w:rsid w:val="00557EFC"/>
    <w:rsid w:val="0056173B"/>
    <w:rsid w:val="0056183E"/>
    <w:rsid w:val="005630E9"/>
    <w:rsid w:val="00563D25"/>
    <w:rsid w:val="00564F68"/>
    <w:rsid w:val="005663EA"/>
    <w:rsid w:val="00572AF2"/>
    <w:rsid w:val="00577388"/>
    <w:rsid w:val="00580B71"/>
    <w:rsid w:val="00582D3F"/>
    <w:rsid w:val="00584814"/>
    <w:rsid w:val="0058583D"/>
    <w:rsid w:val="00585A36"/>
    <w:rsid w:val="00590496"/>
    <w:rsid w:val="005A0C36"/>
    <w:rsid w:val="005A2A33"/>
    <w:rsid w:val="005A4237"/>
    <w:rsid w:val="005A5F43"/>
    <w:rsid w:val="005B135D"/>
    <w:rsid w:val="005B3260"/>
    <w:rsid w:val="005B65B2"/>
    <w:rsid w:val="005C20BA"/>
    <w:rsid w:val="005C2302"/>
    <w:rsid w:val="005C7F72"/>
    <w:rsid w:val="005D0259"/>
    <w:rsid w:val="005D13FD"/>
    <w:rsid w:val="005D1D51"/>
    <w:rsid w:val="005D5BC6"/>
    <w:rsid w:val="005E00FF"/>
    <w:rsid w:val="005E05AC"/>
    <w:rsid w:val="005E0939"/>
    <w:rsid w:val="005E4547"/>
    <w:rsid w:val="005E59A0"/>
    <w:rsid w:val="005E65B3"/>
    <w:rsid w:val="005E7103"/>
    <w:rsid w:val="005E7FE5"/>
    <w:rsid w:val="005F3A41"/>
    <w:rsid w:val="005F6D39"/>
    <w:rsid w:val="005F7785"/>
    <w:rsid w:val="005F7C25"/>
    <w:rsid w:val="00603277"/>
    <w:rsid w:val="00604F26"/>
    <w:rsid w:val="006058F4"/>
    <w:rsid w:val="00605F84"/>
    <w:rsid w:val="006066BE"/>
    <w:rsid w:val="0060679F"/>
    <w:rsid w:val="00610C8D"/>
    <w:rsid w:val="00611CB9"/>
    <w:rsid w:val="0061684E"/>
    <w:rsid w:val="0062036A"/>
    <w:rsid w:val="006238D6"/>
    <w:rsid w:val="00623E0E"/>
    <w:rsid w:val="00624434"/>
    <w:rsid w:val="00626CC8"/>
    <w:rsid w:val="0063189B"/>
    <w:rsid w:val="006325E1"/>
    <w:rsid w:val="00632D99"/>
    <w:rsid w:val="006362C4"/>
    <w:rsid w:val="006379C1"/>
    <w:rsid w:val="00644276"/>
    <w:rsid w:val="00647D81"/>
    <w:rsid w:val="006519DE"/>
    <w:rsid w:val="00653316"/>
    <w:rsid w:val="00653539"/>
    <w:rsid w:val="006570E2"/>
    <w:rsid w:val="00663449"/>
    <w:rsid w:val="00664D26"/>
    <w:rsid w:val="0066682E"/>
    <w:rsid w:val="00671689"/>
    <w:rsid w:val="006754FC"/>
    <w:rsid w:val="00675791"/>
    <w:rsid w:val="00676366"/>
    <w:rsid w:val="00676C70"/>
    <w:rsid w:val="0067760C"/>
    <w:rsid w:val="00682317"/>
    <w:rsid w:val="006912E1"/>
    <w:rsid w:val="00692681"/>
    <w:rsid w:val="00697FF2"/>
    <w:rsid w:val="006B54CE"/>
    <w:rsid w:val="006B5EE0"/>
    <w:rsid w:val="006B6A44"/>
    <w:rsid w:val="006B7CDE"/>
    <w:rsid w:val="006C1A5C"/>
    <w:rsid w:val="006C71F6"/>
    <w:rsid w:val="006D2006"/>
    <w:rsid w:val="006D6071"/>
    <w:rsid w:val="006D7107"/>
    <w:rsid w:val="006E349A"/>
    <w:rsid w:val="006E5E86"/>
    <w:rsid w:val="006F2AD0"/>
    <w:rsid w:val="006F4D58"/>
    <w:rsid w:val="006F67BF"/>
    <w:rsid w:val="007008E1"/>
    <w:rsid w:val="007045ED"/>
    <w:rsid w:val="00704E54"/>
    <w:rsid w:val="00710893"/>
    <w:rsid w:val="007138D8"/>
    <w:rsid w:val="00714D09"/>
    <w:rsid w:val="00715EE9"/>
    <w:rsid w:val="00722E4B"/>
    <w:rsid w:val="00723CA4"/>
    <w:rsid w:val="00723FB1"/>
    <w:rsid w:val="00725D54"/>
    <w:rsid w:val="0073335F"/>
    <w:rsid w:val="00742A18"/>
    <w:rsid w:val="00745691"/>
    <w:rsid w:val="00746CE4"/>
    <w:rsid w:val="007479B1"/>
    <w:rsid w:val="00751F16"/>
    <w:rsid w:val="00755766"/>
    <w:rsid w:val="00755D27"/>
    <w:rsid w:val="00756CBC"/>
    <w:rsid w:val="007606B9"/>
    <w:rsid w:val="00760F1D"/>
    <w:rsid w:val="007652F8"/>
    <w:rsid w:val="0076595F"/>
    <w:rsid w:val="00766AA9"/>
    <w:rsid w:val="0077101C"/>
    <w:rsid w:val="00774C01"/>
    <w:rsid w:val="0077569D"/>
    <w:rsid w:val="00782DCA"/>
    <w:rsid w:val="007923E7"/>
    <w:rsid w:val="0079297C"/>
    <w:rsid w:val="00796438"/>
    <w:rsid w:val="00796A02"/>
    <w:rsid w:val="007A04F1"/>
    <w:rsid w:val="007A0910"/>
    <w:rsid w:val="007A2CA1"/>
    <w:rsid w:val="007A652C"/>
    <w:rsid w:val="007A6635"/>
    <w:rsid w:val="007A7AF9"/>
    <w:rsid w:val="007B2C09"/>
    <w:rsid w:val="007B3A76"/>
    <w:rsid w:val="007B415C"/>
    <w:rsid w:val="007B4CBB"/>
    <w:rsid w:val="007C5AC6"/>
    <w:rsid w:val="007D0005"/>
    <w:rsid w:val="007D0B30"/>
    <w:rsid w:val="007D2916"/>
    <w:rsid w:val="007D52B4"/>
    <w:rsid w:val="007D5F02"/>
    <w:rsid w:val="007E47CC"/>
    <w:rsid w:val="007F3060"/>
    <w:rsid w:val="007F62B4"/>
    <w:rsid w:val="00800F48"/>
    <w:rsid w:val="0080244A"/>
    <w:rsid w:val="00803312"/>
    <w:rsid w:val="00803503"/>
    <w:rsid w:val="00804871"/>
    <w:rsid w:val="00805D2B"/>
    <w:rsid w:val="00807BAC"/>
    <w:rsid w:val="00810D85"/>
    <w:rsid w:val="008124CB"/>
    <w:rsid w:val="0081469E"/>
    <w:rsid w:val="00814A6A"/>
    <w:rsid w:val="0081649E"/>
    <w:rsid w:val="008165E5"/>
    <w:rsid w:val="00816A15"/>
    <w:rsid w:val="00817D76"/>
    <w:rsid w:val="008203D9"/>
    <w:rsid w:val="00821E03"/>
    <w:rsid w:val="008224FD"/>
    <w:rsid w:val="00822EEB"/>
    <w:rsid w:val="00823774"/>
    <w:rsid w:val="00823E4F"/>
    <w:rsid w:val="00835AC6"/>
    <w:rsid w:val="008363EA"/>
    <w:rsid w:val="00837C0D"/>
    <w:rsid w:val="00840DC3"/>
    <w:rsid w:val="0084481A"/>
    <w:rsid w:val="00845080"/>
    <w:rsid w:val="0085021B"/>
    <w:rsid w:val="0085043D"/>
    <w:rsid w:val="00854A19"/>
    <w:rsid w:val="00860C05"/>
    <w:rsid w:val="0086478D"/>
    <w:rsid w:val="00867CF2"/>
    <w:rsid w:val="00867D66"/>
    <w:rsid w:val="008700BA"/>
    <w:rsid w:val="00872219"/>
    <w:rsid w:val="008725AA"/>
    <w:rsid w:val="008762A5"/>
    <w:rsid w:val="00877DDF"/>
    <w:rsid w:val="00882816"/>
    <w:rsid w:val="00885A4E"/>
    <w:rsid w:val="008928CB"/>
    <w:rsid w:val="00892D74"/>
    <w:rsid w:val="00892F36"/>
    <w:rsid w:val="00895668"/>
    <w:rsid w:val="008A0F44"/>
    <w:rsid w:val="008A127C"/>
    <w:rsid w:val="008A2660"/>
    <w:rsid w:val="008B01D3"/>
    <w:rsid w:val="008B2454"/>
    <w:rsid w:val="008B28C9"/>
    <w:rsid w:val="008B3A56"/>
    <w:rsid w:val="008B6077"/>
    <w:rsid w:val="008B6869"/>
    <w:rsid w:val="008C2248"/>
    <w:rsid w:val="008C562D"/>
    <w:rsid w:val="008C793C"/>
    <w:rsid w:val="008D237F"/>
    <w:rsid w:val="008D32E0"/>
    <w:rsid w:val="008D4171"/>
    <w:rsid w:val="008D6F97"/>
    <w:rsid w:val="008D7F05"/>
    <w:rsid w:val="008E5B08"/>
    <w:rsid w:val="008F6794"/>
    <w:rsid w:val="008F7833"/>
    <w:rsid w:val="00904422"/>
    <w:rsid w:val="0091154C"/>
    <w:rsid w:val="0091256F"/>
    <w:rsid w:val="00914034"/>
    <w:rsid w:val="00914C49"/>
    <w:rsid w:val="0091552D"/>
    <w:rsid w:val="009202DB"/>
    <w:rsid w:val="0092303B"/>
    <w:rsid w:val="00924B76"/>
    <w:rsid w:val="00924F77"/>
    <w:rsid w:val="009316E8"/>
    <w:rsid w:val="009351AF"/>
    <w:rsid w:val="00936A56"/>
    <w:rsid w:val="00943828"/>
    <w:rsid w:val="00950206"/>
    <w:rsid w:val="009541EF"/>
    <w:rsid w:val="009549AB"/>
    <w:rsid w:val="00962430"/>
    <w:rsid w:val="00963A00"/>
    <w:rsid w:val="00965961"/>
    <w:rsid w:val="009666ED"/>
    <w:rsid w:val="00971844"/>
    <w:rsid w:val="0097567E"/>
    <w:rsid w:val="009773D5"/>
    <w:rsid w:val="00981F06"/>
    <w:rsid w:val="00982BDF"/>
    <w:rsid w:val="00983E43"/>
    <w:rsid w:val="00983F2E"/>
    <w:rsid w:val="00984966"/>
    <w:rsid w:val="00992939"/>
    <w:rsid w:val="00992C44"/>
    <w:rsid w:val="009931AB"/>
    <w:rsid w:val="00995F0D"/>
    <w:rsid w:val="009972B8"/>
    <w:rsid w:val="00997DC5"/>
    <w:rsid w:val="009A1A80"/>
    <w:rsid w:val="009A2859"/>
    <w:rsid w:val="009A52A7"/>
    <w:rsid w:val="009B04B6"/>
    <w:rsid w:val="009B190D"/>
    <w:rsid w:val="009B4BAB"/>
    <w:rsid w:val="009B56A6"/>
    <w:rsid w:val="009B6155"/>
    <w:rsid w:val="009C0524"/>
    <w:rsid w:val="009C29BE"/>
    <w:rsid w:val="009C3B96"/>
    <w:rsid w:val="009C3F96"/>
    <w:rsid w:val="009C6C1B"/>
    <w:rsid w:val="009D15EB"/>
    <w:rsid w:val="009D3D29"/>
    <w:rsid w:val="009D6B09"/>
    <w:rsid w:val="009E35B1"/>
    <w:rsid w:val="009E4CDF"/>
    <w:rsid w:val="009E7584"/>
    <w:rsid w:val="009F0171"/>
    <w:rsid w:val="009F090E"/>
    <w:rsid w:val="009F17AF"/>
    <w:rsid w:val="009F78E3"/>
    <w:rsid w:val="009F7C5C"/>
    <w:rsid w:val="00A003CB"/>
    <w:rsid w:val="00A0242A"/>
    <w:rsid w:val="00A028B9"/>
    <w:rsid w:val="00A07B89"/>
    <w:rsid w:val="00A10F02"/>
    <w:rsid w:val="00A11B28"/>
    <w:rsid w:val="00A1554E"/>
    <w:rsid w:val="00A160D8"/>
    <w:rsid w:val="00A20455"/>
    <w:rsid w:val="00A314CE"/>
    <w:rsid w:val="00A3211F"/>
    <w:rsid w:val="00A37A0B"/>
    <w:rsid w:val="00A37CF8"/>
    <w:rsid w:val="00A4103A"/>
    <w:rsid w:val="00A43C49"/>
    <w:rsid w:val="00A5080B"/>
    <w:rsid w:val="00A5235C"/>
    <w:rsid w:val="00A52B55"/>
    <w:rsid w:val="00A64695"/>
    <w:rsid w:val="00A647D3"/>
    <w:rsid w:val="00A65B8C"/>
    <w:rsid w:val="00A67236"/>
    <w:rsid w:val="00A6745B"/>
    <w:rsid w:val="00A708DB"/>
    <w:rsid w:val="00A73E04"/>
    <w:rsid w:val="00A7678E"/>
    <w:rsid w:val="00A84C59"/>
    <w:rsid w:val="00A905F7"/>
    <w:rsid w:val="00A90788"/>
    <w:rsid w:val="00AA1676"/>
    <w:rsid w:val="00AB150B"/>
    <w:rsid w:val="00AB2DE8"/>
    <w:rsid w:val="00AC4157"/>
    <w:rsid w:val="00AC6E70"/>
    <w:rsid w:val="00AC7EC3"/>
    <w:rsid w:val="00AD0E63"/>
    <w:rsid w:val="00AD41E2"/>
    <w:rsid w:val="00AD4472"/>
    <w:rsid w:val="00AD6F26"/>
    <w:rsid w:val="00AE103F"/>
    <w:rsid w:val="00AE2FE6"/>
    <w:rsid w:val="00AE3C0A"/>
    <w:rsid w:val="00AE426E"/>
    <w:rsid w:val="00AE5AC4"/>
    <w:rsid w:val="00AF2B9B"/>
    <w:rsid w:val="00AF4452"/>
    <w:rsid w:val="00B02830"/>
    <w:rsid w:val="00B02967"/>
    <w:rsid w:val="00B05108"/>
    <w:rsid w:val="00B070AA"/>
    <w:rsid w:val="00B11AB7"/>
    <w:rsid w:val="00B14011"/>
    <w:rsid w:val="00B143A8"/>
    <w:rsid w:val="00B16644"/>
    <w:rsid w:val="00B1718D"/>
    <w:rsid w:val="00B175D1"/>
    <w:rsid w:val="00B21D0B"/>
    <w:rsid w:val="00B2261D"/>
    <w:rsid w:val="00B22656"/>
    <w:rsid w:val="00B261D6"/>
    <w:rsid w:val="00B306F4"/>
    <w:rsid w:val="00B31AE9"/>
    <w:rsid w:val="00B33791"/>
    <w:rsid w:val="00B35E87"/>
    <w:rsid w:val="00B36B9B"/>
    <w:rsid w:val="00B37016"/>
    <w:rsid w:val="00B45FEF"/>
    <w:rsid w:val="00B50A81"/>
    <w:rsid w:val="00B51E39"/>
    <w:rsid w:val="00B553D8"/>
    <w:rsid w:val="00B55BFE"/>
    <w:rsid w:val="00B60F5A"/>
    <w:rsid w:val="00B610CA"/>
    <w:rsid w:val="00B62609"/>
    <w:rsid w:val="00B653FD"/>
    <w:rsid w:val="00B8029D"/>
    <w:rsid w:val="00B83726"/>
    <w:rsid w:val="00B840CE"/>
    <w:rsid w:val="00B861E1"/>
    <w:rsid w:val="00B9519F"/>
    <w:rsid w:val="00B9692A"/>
    <w:rsid w:val="00B96F55"/>
    <w:rsid w:val="00BA0CE0"/>
    <w:rsid w:val="00BA2A8E"/>
    <w:rsid w:val="00BA2F75"/>
    <w:rsid w:val="00BA4241"/>
    <w:rsid w:val="00BA63A3"/>
    <w:rsid w:val="00BA7A58"/>
    <w:rsid w:val="00BB1EC2"/>
    <w:rsid w:val="00BB4E5C"/>
    <w:rsid w:val="00BC0546"/>
    <w:rsid w:val="00BC0B32"/>
    <w:rsid w:val="00BC2C40"/>
    <w:rsid w:val="00BC3C25"/>
    <w:rsid w:val="00BC5138"/>
    <w:rsid w:val="00BC5F06"/>
    <w:rsid w:val="00BC78D3"/>
    <w:rsid w:val="00BD0609"/>
    <w:rsid w:val="00BD06BF"/>
    <w:rsid w:val="00BD19F9"/>
    <w:rsid w:val="00BD2BE4"/>
    <w:rsid w:val="00BD5815"/>
    <w:rsid w:val="00BE07E0"/>
    <w:rsid w:val="00BE2DE7"/>
    <w:rsid w:val="00BE479C"/>
    <w:rsid w:val="00BE56E0"/>
    <w:rsid w:val="00BE6398"/>
    <w:rsid w:val="00BE70C8"/>
    <w:rsid w:val="00BF1375"/>
    <w:rsid w:val="00BF17FE"/>
    <w:rsid w:val="00BF1B79"/>
    <w:rsid w:val="00BF331D"/>
    <w:rsid w:val="00BF3C95"/>
    <w:rsid w:val="00BF79F2"/>
    <w:rsid w:val="00C035CA"/>
    <w:rsid w:val="00C039A0"/>
    <w:rsid w:val="00C04DE4"/>
    <w:rsid w:val="00C058D6"/>
    <w:rsid w:val="00C05E60"/>
    <w:rsid w:val="00C14485"/>
    <w:rsid w:val="00C15B50"/>
    <w:rsid w:val="00C1688F"/>
    <w:rsid w:val="00C17D24"/>
    <w:rsid w:val="00C20B10"/>
    <w:rsid w:val="00C22233"/>
    <w:rsid w:val="00C223BA"/>
    <w:rsid w:val="00C25F19"/>
    <w:rsid w:val="00C30B61"/>
    <w:rsid w:val="00C33BDD"/>
    <w:rsid w:val="00C33F02"/>
    <w:rsid w:val="00C34205"/>
    <w:rsid w:val="00C402EA"/>
    <w:rsid w:val="00C428D0"/>
    <w:rsid w:val="00C45899"/>
    <w:rsid w:val="00C5027E"/>
    <w:rsid w:val="00C51884"/>
    <w:rsid w:val="00C52F89"/>
    <w:rsid w:val="00C53F71"/>
    <w:rsid w:val="00C5614C"/>
    <w:rsid w:val="00C571D4"/>
    <w:rsid w:val="00C60D13"/>
    <w:rsid w:val="00C62F2D"/>
    <w:rsid w:val="00C64A36"/>
    <w:rsid w:val="00C72A35"/>
    <w:rsid w:val="00C83DF9"/>
    <w:rsid w:val="00C8680B"/>
    <w:rsid w:val="00C86B68"/>
    <w:rsid w:val="00C9000A"/>
    <w:rsid w:val="00C92F74"/>
    <w:rsid w:val="00C95428"/>
    <w:rsid w:val="00CA09DB"/>
    <w:rsid w:val="00CA1119"/>
    <w:rsid w:val="00CA14E9"/>
    <w:rsid w:val="00CA16F2"/>
    <w:rsid w:val="00CA1BBA"/>
    <w:rsid w:val="00CA2DA3"/>
    <w:rsid w:val="00CA3CE6"/>
    <w:rsid w:val="00CA4900"/>
    <w:rsid w:val="00CA55C0"/>
    <w:rsid w:val="00CA5838"/>
    <w:rsid w:val="00CB05A2"/>
    <w:rsid w:val="00CB2F24"/>
    <w:rsid w:val="00CB5B82"/>
    <w:rsid w:val="00CC131C"/>
    <w:rsid w:val="00CC1370"/>
    <w:rsid w:val="00CC2C39"/>
    <w:rsid w:val="00CD26F4"/>
    <w:rsid w:val="00CD279E"/>
    <w:rsid w:val="00CD2B59"/>
    <w:rsid w:val="00CD470F"/>
    <w:rsid w:val="00CE01D4"/>
    <w:rsid w:val="00CE059A"/>
    <w:rsid w:val="00CE1FF2"/>
    <w:rsid w:val="00CE549D"/>
    <w:rsid w:val="00CF032A"/>
    <w:rsid w:val="00CF0D57"/>
    <w:rsid w:val="00CF2172"/>
    <w:rsid w:val="00CF3535"/>
    <w:rsid w:val="00CF6ACF"/>
    <w:rsid w:val="00CF6E3B"/>
    <w:rsid w:val="00D03C6F"/>
    <w:rsid w:val="00D06CE9"/>
    <w:rsid w:val="00D10F58"/>
    <w:rsid w:val="00D11F66"/>
    <w:rsid w:val="00D13B46"/>
    <w:rsid w:val="00D14463"/>
    <w:rsid w:val="00D14C10"/>
    <w:rsid w:val="00D1667E"/>
    <w:rsid w:val="00D22214"/>
    <w:rsid w:val="00D2425A"/>
    <w:rsid w:val="00D26454"/>
    <w:rsid w:val="00D2768A"/>
    <w:rsid w:val="00D320FD"/>
    <w:rsid w:val="00D4175D"/>
    <w:rsid w:val="00D42080"/>
    <w:rsid w:val="00D42992"/>
    <w:rsid w:val="00D47ABC"/>
    <w:rsid w:val="00D50C74"/>
    <w:rsid w:val="00D53E29"/>
    <w:rsid w:val="00D566A3"/>
    <w:rsid w:val="00D56EF3"/>
    <w:rsid w:val="00D62C60"/>
    <w:rsid w:val="00D64FFB"/>
    <w:rsid w:val="00D6501D"/>
    <w:rsid w:val="00D666DA"/>
    <w:rsid w:val="00D67AF2"/>
    <w:rsid w:val="00D71B4B"/>
    <w:rsid w:val="00D728E8"/>
    <w:rsid w:val="00D72B0B"/>
    <w:rsid w:val="00D737B2"/>
    <w:rsid w:val="00D73D58"/>
    <w:rsid w:val="00D743C3"/>
    <w:rsid w:val="00D744EC"/>
    <w:rsid w:val="00D75746"/>
    <w:rsid w:val="00D765DC"/>
    <w:rsid w:val="00D767C6"/>
    <w:rsid w:val="00D77EDF"/>
    <w:rsid w:val="00D8072D"/>
    <w:rsid w:val="00D84F14"/>
    <w:rsid w:val="00D9231C"/>
    <w:rsid w:val="00D94FDA"/>
    <w:rsid w:val="00D97FD0"/>
    <w:rsid w:val="00DA00FE"/>
    <w:rsid w:val="00DA2267"/>
    <w:rsid w:val="00DA5557"/>
    <w:rsid w:val="00DB06DD"/>
    <w:rsid w:val="00DB113F"/>
    <w:rsid w:val="00DB21AA"/>
    <w:rsid w:val="00DB4EFD"/>
    <w:rsid w:val="00DB5949"/>
    <w:rsid w:val="00DB7679"/>
    <w:rsid w:val="00DC004B"/>
    <w:rsid w:val="00DC02FC"/>
    <w:rsid w:val="00DC0635"/>
    <w:rsid w:val="00DC26EE"/>
    <w:rsid w:val="00DC6411"/>
    <w:rsid w:val="00DC790A"/>
    <w:rsid w:val="00DD5AC6"/>
    <w:rsid w:val="00DE4772"/>
    <w:rsid w:val="00DE4E8B"/>
    <w:rsid w:val="00DE740A"/>
    <w:rsid w:val="00DF260F"/>
    <w:rsid w:val="00DF2858"/>
    <w:rsid w:val="00DF455E"/>
    <w:rsid w:val="00DF4564"/>
    <w:rsid w:val="00DF62CF"/>
    <w:rsid w:val="00E01817"/>
    <w:rsid w:val="00E02138"/>
    <w:rsid w:val="00E0213D"/>
    <w:rsid w:val="00E04BB7"/>
    <w:rsid w:val="00E14B9A"/>
    <w:rsid w:val="00E20C4C"/>
    <w:rsid w:val="00E20FF0"/>
    <w:rsid w:val="00E2193A"/>
    <w:rsid w:val="00E239A9"/>
    <w:rsid w:val="00E240C2"/>
    <w:rsid w:val="00E259C8"/>
    <w:rsid w:val="00E27EC7"/>
    <w:rsid w:val="00E30A2E"/>
    <w:rsid w:val="00E431F5"/>
    <w:rsid w:val="00E46062"/>
    <w:rsid w:val="00E469DE"/>
    <w:rsid w:val="00E46B59"/>
    <w:rsid w:val="00E52989"/>
    <w:rsid w:val="00E53202"/>
    <w:rsid w:val="00E57838"/>
    <w:rsid w:val="00E60754"/>
    <w:rsid w:val="00E614B2"/>
    <w:rsid w:val="00E617A6"/>
    <w:rsid w:val="00E663FD"/>
    <w:rsid w:val="00E670C3"/>
    <w:rsid w:val="00E72A0E"/>
    <w:rsid w:val="00E72BFB"/>
    <w:rsid w:val="00E749A6"/>
    <w:rsid w:val="00E753D3"/>
    <w:rsid w:val="00E774FB"/>
    <w:rsid w:val="00E801A0"/>
    <w:rsid w:val="00E80D85"/>
    <w:rsid w:val="00E8226A"/>
    <w:rsid w:val="00E84BBD"/>
    <w:rsid w:val="00E84CE1"/>
    <w:rsid w:val="00E8528B"/>
    <w:rsid w:val="00E8609D"/>
    <w:rsid w:val="00E865BA"/>
    <w:rsid w:val="00E923B0"/>
    <w:rsid w:val="00E952FC"/>
    <w:rsid w:val="00E964C8"/>
    <w:rsid w:val="00EA1F6F"/>
    <w:rsid w:val="00EA236A"/>
    <w:rsid w:val="00EA43CD"/>
    <w:rsid w:val="00EA7949"/>
    <w:rsid w:val="00EB3063"/>
    <w:rsid w:val="00EB3D2C"/>
    <w:rsid w:val="00EB543F"/>
    <w:rsid w:val="00EC0112"/>
    <w:rsid w:val="00ED1168"/>
    <w:rsid w:val="00ED24F2"/>
    <w:rsid w:val="00ED5AD5"/>
    <w:rsid w:val="00EE1920"/>
    <w:rsid w:val="00EE2AFE"/>
    <w:rsid w:val="00EE5453"/>
    <w:rsid w:val="00EE60D4"/>
    <w:rsid w:val="00EF1734"/>
    <w:rsid w:val="00EF17F9"/>
    <w:rsid w:val="00EF3971"/>
    <w:rsid w:val="00EF422B"/>
    <w:rsid w:val="00EF461A"/>
    <w:rsid w:val="00EF6594"/>
    <w:rsid w:val="00EF6E72"/>
    <w:rsid w:val="00F01707"/>
    <w:rsid w:val="00F0288A"/>
    <w:rsid w:val="00F02B24"/>
    <w:rsid w:val="00F02C4D"/>
    <w:rsid w:val="00F04EF7"/>
    <w:rsid w:val="00F057E6"/>
    <w:rsid w:val="00F06031"/>
    <w:rsid w:val="00F06C95"/>
    <w:rsid w:val="00F06F82"/>
    <w:rsid w:val="00F075E8"/>
    <w:rsid w:val="00F07D89"/>
    <w:rsid w:val="00F11B3D"/>
    <w:rsid w:val="00F1230B"/>
    <w:rsid w:val="00F1754C"/>
    <w:rsid w:val="00F2015D"/>
    <w:rsid w:val="00F2766B"/>
    <w:rsid w:val="00F3009C"/>
    <w:rsid w:val="00F3274D"/>
    <w:rsid w:val="00F40769"/>
    <w:rsid w:val="00F40BE5"/>
    <w:rsid w:val="00F43FBF"/>
    <w:rsid w:val="00F4519E"/>
    <w:rsid w:val="00F508D0"/>
    <w:rsid w:val="00F52156"/>
    <w:rsid w:val="00F552C5"/>
    <w:rsid w:val="00F56364"/>
    <w:rsid w:val="00F57F3D"/>
    <w:rsid w:val="00F623F1"/>
    <w:rsid w:val="00F62EFC"/>
    <w:rsid w:val="00F66267"/>
    <w:rsid w:val="00F66303"/>
    <w:rsid w:val="00F673A7"/>
    <w:rsid w:val="00F71B91"/>
    <w:rsid w:val="00F77E7D"/>
    <w:rsid w:val="00F82233"/>
    <w:rsid w:val="00F82F5F"/>
    <w:rsid w:val="00F830EF"/>
    <w:rsid w:val="00F85C6C"/>
    <w:rsid w:val="00F86947"/>
    <w:rsid w:val="00F8768F"/>
    <w:rsid w:val="00F919F2"/>
    <w:rsid w:val="00F9241A"/>
    <w:rsid w:val="00F930BE"/>
    <w:rsid w:val="00F940AD"/>
    <w:rsid w:val="00F949E6"/>
    <w:rsid w:val="00F9649A"/>
    <w:rsid w:val="00F965BD"/>
    <w:rsid w:val="00FA15C7"/>
    <w:rsid w:val="00FA313C"/>
    <w:rsid w:val="00FA7ACD"/>
    <w:rsid w:val="00FB0163"/>
    <w:rsid w:val="00FB1DED"/>
    <w:rsid w:val="00FC044D"/>
    <w:rsid w:val="00FC2BE4"/>
    <w:rsid w:val="00FC36B6"/>
    <w:rsid w:val="00FC377C"/>
    <w:rsid w:val="00FC3C39"/>
    <w:rsid w:val="00FC66FC"/>
    <w:rsid w:val="00FC6E1D"/>
    <w:rsid w:val="00FC6FEB"/>
    <w:rsid w:val="00FD052C"/>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98F242-4CC4-427A-AAB1-27EFC3E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link w:val="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uiPriority w:val="99"/>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 Char Char Char Char Char Char Char"/>
    <w:basedOn w:val="Normal"/>
    <w:link w:val="DefaultParagraphFont"/>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aliases w:val="List Paragraph (numbered (a)),Абзац списка1,Lapis Bulleted List,Bullets,List Paragraph1,List 100s,WB Para,normal,Normal1,Normal2,Normal3,Normal4,Normal5,Normal6,Normal7,paragraph,Paragraphe de liste1"/>
    <w:basedOn w:val="Normal"/>
    <w:link w:val="ListParagraphChar"/>
    <w:uiPriority w:val="34"/>
    <w:qFormat/>
    <w:rsid w:val="00391636"/>
    <w:pPr>
      <w:ind w:left="720"/>
    </w:pPr>
  </w:style>
  <w:style w:type="character" w:customStyle="1" w:styleId="ListParagraphChar">
    <w:name w:val="List Paragraph Char"/>
    <w:aliases w:val="List Paragraph (numbered (a)) Char,Абзац списка1 Char,Lapis Bulleted List Char,Bullets Char,List Paragraph1 Char,List 100s Char,WB Para Char,normal Char,Normal1 Char,Normal2 Char,Normal3 Char,Normal4 Char,Normal5 Char,Normal6 Char"/>
    <w:link w:val="ListParagraph"/>
    <w:uiPriority w:val="34"/>
    <w:locked/>
    <w:rsid w:val="00102056"/>
    <w:rPr>
      <w:sz w:val="24"/>
      <w:szCs w:val="24"/>
      <w:lang w:val="en-GB" w:eastAsia="en-US"/>
    </w:rPr>
  </w:style>
  <w:style w:type="character" w:customStyle="1" w:styleId="rvts44">
    <w:name w:val="rvts44"/>
    <w:rsid w:val="00102056"/>
  </w:style>
  <w:style w:type="paragraph" w:customStyle="1" w:styleId="m-5868436092856549093msobodytext2">
    <w:name w:val="m_-5868436092856549093msobodytext2"/>
    <w:basedOn w:val="Normal"/>
    <w:rsid w:val="00995F0D"/>
    <w:pPr>
      <w:spacing w:before="100" w:beforeAutospacing="1" w:after="100" w:afterAutospacing="1"/>
    </w:pPr>
    <w:rPr>
      <w:lang w:val="uk-UA" w:eastAsia="uk-UA"/>
    </w:rPr>
  </w:style>
  <w:style w:type="character" w:styleId="Strong">
    <w:name w:val="Strong"/>
    <w:uiPriority w:val="22"/>
    <w:qFormat/>
    <w:rsid w:val="00191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3450">
      <w:bodyDiv w:val="1"/>
      <w:marLeft w:val="0"/>
      <w:marRight w:val="0"/>
      <w:marTop w:val="0"/>
      <w:marBottom w:val="0"/>
      <w:divBdr>
        <w:top w:val="none" w:sz="0" w:space="0" w:color="auto"/>
        <w:left w:val="none" w:sz="0" w:space="0" w:color="auto"/>
        <w:bottom w:val="none" w:sz="0" w:space="0" w:color="auto"/>
        <w:right w:val="none" w:sz="0" w:space="0" w:color="auto"/>
      </w:divBdr>
    </w:div>
    <w:div w:id="1509559087">
      <w:bodyDiv w:val="1"/>
      <w:marLeft w:val="0"/>
      <w:marRight w:val="0"/>
      <w:marTop w:val="0"/>
      <w:marBottom w:val="0"/>
      <w:divBdr>
        <w:top w:val="none" w:sz="0" w:space="0" w:color="auto"/>
        <w:left w:val="none" w:sz="0" w:space="0" w:color="auto"/>
        <w:bottom w:val="none" w:sz="0" w:space="0" w:color="auto"/>
        <w:right w:val="none" w:sz="0" w:space="0" w:color="auto"/>
      </w:divBdr>
    </w:div>
    <w:div w:id="1607955763">
      <w:bodyDiv w:val="1"/>
      <w:marLeft w:val="0"/>
      <w:marRight w:val="0"/>
      <w:marTop w:val="0"/>
      <w:marBottom w:val="0"/>
      <w:divBdr>
        <w:top w:val="none" w:sz="0" w:space="0" w:color="auto"/>
        <w:left w:val="none" w:sz="0" w:space="0" w:color="auto"/>
        <w:bottom w:val="none" w:sz="0" w:space="0" w:color="auto"/>
        <w:right w:val="none" w:sz="0" w:space="0" w:color="auto"/>
      </w:divBdr>
    </w:div>
    <w:div w:id="1920745054">
      <w:bodyDiv w:val="1"/>
      <w:marLeft w:val="0"/>
      <w:marRight w:val="0"/>
      <w:marTop w:val="0"/>
      <w:marBottom w:val="0"/>
      <w:divBdr>
        <w:top w:val="none" w:sz="0" w:space="0" w:color="auto"/>
        <w:left w:val="none" w:sz="0" w:space="0" w:color="auto"/>
        <w:bottom w:val="none" w:sz="0" w:space="0" w:color="auto"/>
        <w:right w:val="none" w:sz="0" w:space="0" w:color="auto"/>
      </w:divBdr>
      <w:divsChild>
        <w:div w:id="61832487">
          <w:marLeft w:val="0"/>
          <w:marRight w:val="0"/>
          <w:marTop w:val="0"/>
          <w:marBottom w:val="0"/>
          <w:divBdr>
            <w:top w:val="none" w:sz="0" w:space="0" w:color="auto"/>
            <w:left w:val="none" w:sz="0" w:space="0" w:color="auto"/>
            <w:bottom w:val="none" w:sz="0" w:space="0" w:color="auto"/>
            <w:right w:val="none" w:sz="0" w:space="0" w:color="auto"/>
          </w:divBdr>
        </w:div>
        <w:div w:id="1207134659">
          <w:marLeft w:val="0"/>
          <w:marRight w:val="0"/>
          <w:marTop w:val="120"/>
          <w:marBottom w:val="0"/>
          <w:divBdr>
            <w:top w:val="none" w:sz="0" w:space="0" w:color="auto"/>
            <w:left w:val="none" w:sz="0" w:space="0" w:color="auto"/>
            <w:bottom w:val="none" w:sz="0" w:space="0" w:color="auto"/>
            <w:right w:val="none" w:sz="0" w:space="0" w:color="auto"/>
          </w:divBdr>
          <w:divsChild>
            <w:div w:id="1277981396">
              <w:marLeft w:val="0"/>
              <w:marRight w:val="0"/>
              <w:marTop w:val="0"/>
              <w:marBottom w:val="0"/>
              <w:divBdr>
                <w:top w:val="none" w:sz="0" w:space="0" w:color="auto"/>
                <w:left w:val="none" w:sz="0" w:space="0" w:color="auto"/>
                <w:bottom w:val="none" w:sz="0" w:space="0" w:color="auto"/>
                <w:right w:val="none" w:sz="0" w:space="0" w:color="auto"/>
              </w:divBdr>
            </w:div>
          </w:divsChild>
        </w:div>
        <w:div w:id="1481727321">
          <w:marLeft w:val="0"/>
          <w:marRight w:val="0"/>
          <w:marTop w:val="120"/>
          <w:marBottom w:val="0"/>
          <w:divBdr>
            <w:top w:val="none" w:sz="0" w:space="0" w:color="auto"/>
            <w:left w:val="none" w:sz="0" w:space="0" w:color="auto"/>
            <w:bottom w:val="none" w:sz="0" w:space="0" w:color="auto"/>
            <w:right w:val="none" w:sz="0" w:space="0" w:color="auto"/>
          </w:divBdr>
          <w:divsChild>
            <w:div w:id="708263332">
              <w:marLeft w:val="0"/>
              <w:marRight w:val="0"/>
              <w:marTop w:val="0"/>
              <w:marBottom w:val="0"/>
              <w:divBdr>
                <w:top w:val="none" w:sz="0" w:space="0" w:color="auto"/>
                <w:left w:val="none" w:sz="0" w:space="0" w:color="auto"/>
                <w:bottom w:val="none" w:sz="0" w:space="0" w:color="auto"/>
                <w:right w:val="none" w:sz="0" w:space="0" w:color="auto"/>
              </w:divBdr>
            </w:div>
          </w:divsChild>
        </w:div>
        <w:div w:id="1598903656">
          <w:marLeft w:val="0"/>
          <w:marRight w:val="0"/>
          <w:marTop w:val="0"/>
          <w:marBottom w:val="0"/>
          <w:divBdr>
            <w:top w:val="none" w:sz="0" w:space="0" w:color="auto"/>
            <w:left w:val="none" w:sz="0" w:space="0" w:color="auto"/>
            <w:bottom w:val="none" w:sz="0" w:space="0" w:color="auto"/>
            <w:right w:val="none" w:sz="0" w:space="0" w:color="auto"/>
          </w:divBdr>
        </w:div>
        <w:div w:id="1691293474">
          <w:marLeft w:val="0"/>
          <w:marRight w:val="0"/>
          <w:marTop w:val="0"/>
          <w:marBottom w:val="0"/>
          <w:divBdr>
            <w:top w:val="none" w:sz="0" w:space="0" w:color="auto"/>
            <w:left w:val="none" w:sz="0" w:space="0" w:color="auto"/>
            <w:bottom w:val="none" w:sz="0" w:space="0" w:color="auto"/>
            <w:right w:val="none" w:sz="0" w:space="0" w:color="auto"/>
          </w:divBdr>
        </w:div>
      </w:divsChild>
    </w:div>
    <w:div w:id="1940604271">
      <w:bodyDiv w:val="1"/>
      <w:marLeft w:val="0"/>
      <w:marRight w:val="0"/>
      <w:marTop w:val="0"/>
      <w:marBottom w:val="0"/>
      <w:divBdr>
        <w:top w:val="none" w:sz="0" w:space="0" w:color="auto"/>
        <w:left w:val="none" w:sz="0" w:space="0" w:color="auto"/>
        <w:bottom w:val="none" w:sz="0" w:space="0" w:color="auto"/>
        <w:right w:val="none" w:sz="0" w:space="0" w:color="auto"/>
      </w:divBdr>
    </w:div>
    <w:div w:id="20720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4635-89AF-4724-995D-3E5DA783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Rome, 23 October 2003</vt:lpstr>
      <vt:lpstr>Rome, 23 October 2003</vt:lpstr>
    </vt:vector>
  </TitlesOfParts>
  <Company>IPGRI</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Anna Tsytsak</cp:lastModifiedBy>
  <cp:revision>2</cp:revision>
  <cp:lastPrinted>2020-08-05T09:10:00Z</cp:lastPrinted>
  <dcterms:created xsi:type="dcterms:W3CDTF">2021-07-27T11:00:00Z</dcterms:created>
  <dcterms:modified xsi:type="dcterms:W3CDTF">2021-07-27T11:00:00Z</dcterms:modified>
</cp:coreProperties>
</file>