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2.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5"/>
        <w:gridCol w:w="7087"/>
        <w:tblGridChange w:id="0">
          <w:tblGrid>
            <w:gridCol w:w="2265"/>
            <w:gridCol w:w="7087"/>
          </w:tblGrid>
        </w:tblGridChange>
      </w:tblGrid>
      <w:tr>
        <w:trPr>
          <w:cantSplit w:val="0"/>
          <w:trHeight w:val="589.98046875" w:hRule="atLeast"/>
          <w:tblHeader w:val="0"/>
        </w:trPr>
        <w:tc>
          <w:tcPr>
            <w:gridSpan w:val="2"/>
            <w:vAlign w:val="center"/>
          </w:tcPr>
          <w:p w:rsidR="00000000" w:rsidDel="00000000" w:rsidP="00000000" w:rsidRDefault="00000000" w:rsidRPr="00000000" w14:paraId="00000002">
            <w:pPr>
              <w:spacing w:after="120" w:before="120" w:line="240" w:lineRule="auto"/>
              <w:ind w:left="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ТЕХНІЧНЕ ЗАВДАННЯ ДЛЯ ІНДИВІДУАЛЬНОГО/Ї КОНСУЛЬТАНТА/КИ</w:t>
            </w:r>
          </w:p>
        </w:tc>
      </w:tr>
      <w:tr>
        <w:trPr>
          <w:cantSplit w:val="0"/>
          <w:trHeight w:val="240" w:hRule="atLeast"/>
          <w:tblHeader w:val="0"/>
        </w:trPr>
        <w:tc>
          <w:tcPr/>
          <w:p w:rsidR="00000000" w:rsidDel="00000000" w:rsidP="00000000" w:rsidRDefault="00000000" w:rsidRPr="00000000" w14:paraId="00000004">
            <w:pPr>
              <w:spacing w:after="12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Агенція, що наймає:</w:t>
            </w:r>
          </w:p>
        </w:tc>
        <w:tc>
          <w:tcPr/>
          <w:p w:rsidR="00000000" w:rsidDel="00000000" w:rsidP="00000000" w:rsidRDefault="00000000" w:rsidRPr="00000000" w14:paraId="00000005">
            <w:pPr>
              <w:spacing w:after="12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Фонд ООН у галузі народонаселення в України (UNFPA)</w:t>
            </w:r>
          </w:p>
        </w:tc>
      </w:tr>
      <w:tr>
        <w:trPr>
          <w:cantSplit w:val="0"/>
          <w:tblHeader w:val="0"/>
        </w:trPr>
        <w:tc>
          <w:tcPr/>
          <w:p w:rsidR="00000000" w:rsidDel="00000000" w:rsidP="00000000" w:rsidRDefault="00000000" w:rsidRPr="00000000" w14:paraId="00000006">
            <w:pPr>
              <w:spacing w:after="12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Назва позиції:</w:t>
            </w:r>
          </w:p>
        </w:tc>
        <w:tc>
          <w:tcPr/>
          <w:p w:rsidR="00000000" w:rsidDel="00000000" w:rsidP="00000000" w:rsidRDefault="00000000" w:rsidRPr="00000000" w14:paraId="00000007">
            <w:pPr>
              <w:spacing w:after="120" w:line="240" w:lineRule="auto"/>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Національний/а консультант/ка, експерт/ка з питань посилення спроможності Міністерства соціальної політики України у сфері запобігання та реагування на сексуальне насильство, пов'язане з конфліктом</w:t>
            </w:r>
          </w:p>
        </w:tc>
      </w:tr>
      <w:tr>
        <w:trPr>
          <w:cantSplit w:val="0"/>
          <w:tblHeader w:val="0"/>
        </w:trPr>
        <w:tc>
          <w:tcPr/>
          <w:p w:rsidR="00000000" w:rsidDel="00000000" w:rsidP="00000000" w:rsidRDefault="00000000" w:rsidRPr="00000000" w14:paraId="00000008">
            <w:pPr>
              <w:spacing w:after="12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Мета:</w:t>
            </w:r>
          </w:p>
        </w:tc>
        <w:tc>
          <w:tcPr/>
          <w:p w:rsidR="00000000" w:rsidDel="00000000" w:rsidP="00000000" w:rsidRDefault="00000000" w:rsidRPr="00000000" w14:paraId="00000009">
            <w:pPr>
              <w:spacing w:after="120" w:line="240" w:lineRule="auto"/>
              <w:ind w:left="-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Спільна програма з протидії сексуальному насильству, пов'язаному з конфліктом (СНПК) в Україні ґрунтується на співпраці та взаємодії між Урядом України та Спеціальною представницею Генерального секретаря ООН з питань протидії сексуальному насильству під час конфлікту</w:t>
            </w:r>
            <w:r w:rsidDel="00000000" w:rsidR="00000000" w:rsidRPr="00000000">
              <w:rPr>
                <w:rFonts w:ascii="Arial" w:cs="Arial" w:eastAsia="Arial" w:hAnsi="Arial"/>
                <w:sz w:val="20"/>
                <w:szCs w:val="20"/>
                <w:highlight w:val="white"/>
                <w:rtl w:val="0"/>
              </w:rPr>
              <w:t xml:space="preserve">,</w:t>
            </w:r>
            <w:r w:rsidDel="00000000" w:rsidR="00000000" w:rsidRPr="00000000">
              <w:rPr>
                <w:rFonts w:ascii="Arial" w:cs="Arial" w:eastAsia="Arial" w:hAnsi="Arial"/>
                <w:sz w:val="20"/>
                <w:szCs w:val="20"/>
                <w:rtl w:val="0"/>
              </w:rPr>
              <w:t xml:space="preserve"> що знайшло своє відображення у Рамковій програмі співробітництва між Урядом України та ООН щодо запобігання та протидії сексуальному насильству, пов'язаному з конфліктом, підписаній у травні 2022 року. Спільна програма передбачає надання технічної підтримки та експертної допомоги державним установам та відповідним структурам ООН, які працюватимуть разом з організаціями громадянського суспільства та службами швидкого реагування над реалізацією Рамкової програми через: (i) розробку політик, (ii) навчання/підвищення обізнаності та (iii) підтримку постраждалих від сексуального насильства.</w:t>
            </w:r>
          </w:p>
          <w:p w:rsidR="00000000" w:rsidDel="00000000" w:rsidP="00000000" w:rsidRDefault="00000000" w:rsidRPr="00000000" w14:paraId="0000000A">
            <w:pPr>
              <w:spacing w:after="120" w:line="240" w:lineRule="auto"/>
              <w:ind w:left="-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Офіс Віце-прем'єр-міністерки з питань європейської та євроатлантичної інтеграції України та Апарат Урядової Уповноваженої з питань гендерної політики, та члени/кині Міжвідомчої робочої групи (МРГ) з питань протидії сексуальному насильству, пов'язаному зі збройною агресією росії проти України та надання допомоги постраждалим підтримують Імплементаційний план на виконання Рамкової програми з фокусом на п'яти головних сферах: (i) торгівля людьми з метою сексуальної експлуатації, (ii) надання комплексної допомоги постраждалим від СНПК, (iii) доступ до правосуддя та притягнення до відповідальності, (iv) посилення спроможності сектору безпеки та оборони запобігати та протидіяти СНПК, (v) відшкодування шкоди та виплати компенсації. Офіс Спеціальної представниці Генерального секретаря ООН з питань протидії сексуальному насильству під час конфлікту є співголовою кожної з міжвідомчих робочих підгруп, присвячених цим темам, разом з агенціями ООН в Україні та національними партнерами. </w:t>
            </w:r>
          </w:p>
          <w:p w:rsidR="00000000" w:rsidDel="00000000" w:rsidP="00000000" w:rsidRDefault="00000000" w:rsidRPr="00000000" w14:paraId="0000000B">
            <w:pPr>
              <w:spacing w:after="120" w:line="240" w:lineRule="auto"/>
              <w:ind w:left="-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Для підтримки МРГ в питаннях розробки та координації діяльності в рамках Імплементаційного плану Рамкової програми співробітництва сформовано Спільний секретаріат, до складу якого увійшли представники/ці Офісу Віце-прем'єр-міністерки з питань європейської та євроатлантичної інтеграції України, Апарату Урядової уповноваженої з питань гендерної політики, а також відповідних структур системи ООН. </w:t>
            </w:r>
          </w:p>
          <w:p w:rsidR="00000000" w:rsidDel="00000000" w:rsidP="00000000" w:rsidRDefault="00000000" w:rsidRPr="00000000" w14:paraId="0000000C">
            <w:pPr>
              <w:spacing w:after="120" w:line="240" w:lineRule="auto"/>
              <w:ind w:left="-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В якості ключового компоненту Уряд України визначив необхідність посилення національних механізмів шляхом залучення національних експертів/ток з питань СНПК. У відповідь була розроблена Спільна програма, яка підтримує залучення низки національних експертів/ток, які будуть працювати у визначених державних установах, а саме: в Офісі Віце-прем'єр-міністра з питань європейської та євроатлантичної інтеграції, Апараті Урядової уповноваженої з питань гендерної політики, Міністерстві внутрішніх справ, Міністерстві соціальної політики, Національній соціальній сервісній службі України, Секретаріаті Уповноваженого ВРУ з прав людини. Водночас, буде розгорнута група радників/ниць з питань захисту жінок на чолі зі старшим/ою радником/цею з питань захисту жінок в Офісі Координатора системи ООН в Україні для надання підтримки ООН в Україні згідно з відповідними резолюціями Ради Безпеки ООН, зокрема резолюцією 2467 (2019), а також для підтримки Спільного секретаріату, який відповідає за координацію загальної реалізації Рамкової програми, як підписантів угоди, та Плану її реалізації. Заходи, спрямовані на досягнення очікуваних результатів у рамках різних робочих напрямів, здійснюватимуться на місцях у співпраці з підрозділом радників/ниць з питань захисту жінок та національними експертами/ками, відрядженими з цією метою до різних урядових установ.</w:t>
            </w:r>
          </w:p>
        </w:tc>
      </w:tr>
      <w:tr>
        <w:trPr>
          <w:cantSplit w:val="0"/>
          <w:tblHeader w:val="0"/>
        </w:trPr>
        <w:tc>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after="12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Обсяг робіт (опис послуг, діяльності або результатів):</w:t>
            </w:r>
          </w:p>
          <w:p w:rsidR="00000000" w:rsidDel="00000000" w:rsidP="00000000" w:rsidRDefault="00000000" w:rsidRPr="00000000" w14:paraId="0000000E">
            <w:pPr>
              <w:spacing w:after="120" w:line="240" w:lineRule="auto"/>
              <w:ind w:left="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0F">
            <w:pPr>
              <w:spacing w:after="120" w:line="240" w:lineRule="auto"/>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Консультант/ка надаватиме підтримку Міністерству соціальної політики України – </w:t>
            </w:r>
            <w:r w:rsidDel="00000000" w:rsidR="00000000" w:rsidRPr="00000000">
              <w:rPr>
                <w:rFonts w:ascii="Arial" w:cs="Arial" w:eastAsia="Arial" w:hAnsi="Arial"/>
                <w:i w:val="1"/>
                <w:sz w:val="20"/>
                <w:szCs w:val="20"/>
                <w:rtl w:val="0"/>
              </w:rPr>
              <w:t xml:space="preserve">приймаючій стороні</w:t>
            </w:r>
            <w:r w:rsidDel="00000000" w:rsidR="00000000" w:rsidRPr="00000000">
              <w:rPr>
                <w:rFonts w:ascii="Arial" w:cs="Arial" w:eastAsia="Arial" w:hAnsi="Arial"/>
                <w:sz w:val="20"/>
                <w:szCs w:val="20"/>
                <w:rtl w:val="0"/>
              </w:rPr>
              <w:t xml:space="preserve"> – у вирішенні викликів щодо реалізації державної політики у сфері протидії та запобіганню сексуальному насильству, пов'язаному зі збройною агресією Російської Федерації проти України, зокрема, в межах Імплементаційного Плану Рамкової програми співробітництва між Урядом України та ООН щодо запобігання та протидії сексуальному насильству.</w:t>
            </w:r>
          </w:p>
          <w:p w:rsidR="00000000" w:rsidDel="00000000" w:rsidP="00000000" w:rsidRDefault="00000000" w:rsidRPr="00000000" w14:paraId="00000010">
            <w:pPr>
              <w:spacing w:after="120" w:line="240" w:lineRule="auto"/>
              <w:ind w:left="-2" w:firstLine="0"/>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Основні завдання та обов’язки:</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3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Забезпечення регулярної взаємодії та комунікації між Міністерством соціальної політики України та Апаратом Урядової уповноваженої з питань гендерної політики, як головою МРГ, з питань виконання Імплементаційного Плану Рамкової програми співробітництва. А також забезпечення взаємодії та комунікації з Фондом ООН у галузі народонаселення та іншими суб'єктами, залученими до виконання Плану. Такі обов’язки включатимуть організацію та проведення зустрічей, складання протоколів та інших документів, інформування щодо запланованих Міністерством соціальної політики завдань та активностей та статусу їх імплементації тощо. </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3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Участь у плануванні, виконанні та моніторингу виконання Плану реалізації в частині, де Міністерство соціальної політики України визначено виконавцем або співвиконавцем.</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3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Участь у роботі Міжвідомчої робочої групи (МРГ) з питань протидії сексуальному насильству, пов'язаному зі збройною агресією Росії проти України та надання допомоги постраждалим, включаючи підготовку та проведення засідань, зокрема, підгрупи №2 з питань надання комплексної допомоги постраждалим від СНПК, а також інших напрямів, де Міністерство соціальної політики України визначено виконавцем або співвиконавцем. Надання експертної підтримки щодо формування програм засідань, спікерів(ок), актуальних питань для обговорення та підготовка протоколів за результатами засідань. </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3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Сприяння співпраці експертів/ток Міністерства соціальної політики України зі співголовами та членами/кинями підгруп МРГ, включаючи здійснення внутрішніх комунікацій.</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3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Участь у підготовці річного звіту за результатами виконання Плану реалізації Рамкової програми співробітництва між суб’єктами, залученим до реалізації Плану реалізації, зокрема, в межах підгрупи №2, спільно з UNFPA; а також інших напрямів, де Міністерство соціальної політики України визначено виконавцем або співвиконавцем.</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3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За підтримки юридичних фахівців/чинь розробка проєктів законів та інших нормативно-правових актів, передбачених Планом реалізації Рамкової програми, сприяння організації та участь у тематичних робочих групах (у разі їх створення).</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3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Участь у розробці рекомендацій, методичних та інших матеріалів щодо запобігання та протидії сексуальному насильству, пов'язаному зі збройною агресією Російської Федерації проти України.</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3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Участь у аналізі існуючих навчальних курсів/програм з питань запобігання та протидії гендерно зумовленому насильству, в частині, яка стосується СНПК, визначення потреби в нових освітніх програмах з напрямку реагування на СНПК.</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3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Участь у розробці програм підвищення кваліфікації за підтримки профільних експертів/ток, створення навчальних матеріалів для соціальних працівників/ць, які надають допомогу постраждалим від сексуального насильства.  </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3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Надання підтримки Міністерству соціальної політики України щодо інших заходів, пов'язаних із реагуванням на випадки СНПК</w:t>
            </w:r>
          </w:p>
        </w:tc>
      </w:tr>
      <w:tr>
        <w:trPr>
          <w:cantSplit w:val="0"/>
          <w:tblHeader w:val="0"/>
        </w:trPr>
        <w:tc>
          <w:tcPr/>
          <w:p w:rsidR="00000000" w:rsidDel="00000000" w:rsidP="00000000" w:rsidRDefault="00000000" w:rsidRPr="00000000" w14:paraId="0000001B">
            <w:pPr>
              <w:spacing w:after="12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Тривалість та графік роботи:</w:t>
            </w:r>
          </w:p>
          <w:p w:rsidR="00000000" w:rsidDel="00000000" w:rsidP="00000000" w:rsidRDefault="00000000" w:rsidRPr="00000000" w14:paraId="0000001C">
            <w:pPr>
              <w:spacing w:after="120" w:line="240" w:lineRule="auto"/>
              <w:ind w:left="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D">
            <w:pPr>
              <w:widowControl w:val="0"/>
              <w:pBdr>
                <w:between w:space="0" w:sz="0" w:val="nil"/>
              </w:pBdr>
              <w:spacing w:after="120" w:line="240" w:lineRule="auto"/>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Дата початку роботи: 1 січня 2025 року (орієнтовно).</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120" w:line="240" w:lineRule="auto"/>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Тривалість: до 31 травня 2025 року</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(можливість продовження підлягає подальшому обговоренню за умови наявності коштів)</w:t>
            </w:r>
          </w:p>
        </w:tc>
      </w:tr>
      <w:tr>
        <w:trPr>
          <w:cantSplit w:val="0"/>
          <w:tblHeader w:val="0"/>
        </w:trPr>
        <w:tc>
          <w:tcPr/>
          <w:p w:rsidR="00000000" w:rsidDel="00000000" w:rsidP="00000000" w:rsidRDefault="00000000" w:rsidRPr="00000000" w14:paraId="0000001F">
            <w:pPr>
              <w:spacing w:after="12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Місце, де будуть надаватися послуги та формат:</w:t>
            </w:r>
          </w:p>
        </w:tc>
        <w:tc>
          <w:tcPr/>
          <w:p w:rsidR="00000000" w:rsidDel="00000000" w:rsidP="00000000" w:rsidRDefault="00000000" w:rsidRPr="00000000" w14:paraId="00000020">
            <w:pPr>
              <w:spacing w:after="120" w:line="240" w:lineRule="auto"/>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Київ, Україна. Формат роботи: очно-дистанційний</w:t>
            </w:r>
          </w:p>
        </w:tc>
      </w:tr>
      <w:tr>
        <w:trPr>
          <w:cantSplit w:val="0"/>
          <w:tblHeader w:val="0"/>
        </w:trPr>
        <w:tc>
          <w:tcPr/>
          <w:p w:rsidR="00000000" w:rsidDel="00000000" w:rsidP="00000000" w:rsidRDefault="00000000" w:rsidRPr="00000000" w14:paraId="00000021">
            <w:pPr>
              <w:spacing w:after="12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Терміни надання послуг та спосіб надання результатів роботи (наприклад, в електронному вигляді, на паперових носіях тощо):</w:t>
            </w:r>
          </w:p>
        </w:tc>
        <w:tc>
          <w:tcPr/>
          <w:p w:rsidR="00000000" w:rsidDel="00000000" w:rsidP="00000000" w:rsidRDefault="00000000" w:rsidRPr="00000000" w14:paraId="00000022">
            <w:pPr>
              <w:spacing w:after="120" w:line="240" w:lineRule="auto"/>
              <w:ind w:left="-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Звітування про хід виконання буде проводитися на регулярній основі і має супроводжуватися розробленими/переглянутими документами. Періодичність та алгоритм звітування мають бути узгоджені з консультантом/кою додатково.</w:t>
            </w:r>
          </w:p>
        </w:tc>
      </w:tr>
      <w:tr>
        <w:trPr>
          <w:cantSplit w:val="0"/>
          <w:tblHeader w:val="0"/>
        </w:trPr>
        <w:tc>
          <w:tcPr/>
          <w:p w:rsidR="00000000" w:rsidDel="00000000" w:rsidP="00000000" w:rsidRDefault="00000000" w:rsidRPr="00000000" w14:paraId="00000023">
            <w:pPr>
              <w:spacing w:after="12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Моніторинг та контроль прогресу, включаючи вимоги до звітності, періодичність та кінцевий термін:</w:t>
            </w:r>
          </w:p>
        </w:tc>
        <w:tc>
          <w:tcPr/>
          <w:p w:rsidR="00000000" w:rsidDel="00000000" w:rsidP="00000000" w:rsidRDefault="00000000" w:rsidRPr="00000000" w14:paraId="00000024">
            <w:pPr>
              <w:spacing w:after="120" w:line="240" w:lineRule="auto"/>
              <w:ind w:left="-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Щоденний моніторинг роботи здійснюватиметься приймаючою стороною, тобто Міністерством соціальної політики України, спільно з визначеним співробітником/цею UNFPA.</w:t>
            </w:r>
          </w:p>
        </w:tc>
      </w:tr>
      <w:tr>
        <w:trPr>
          <w:cantSplit w:val="0"/>
          <w:tblHeader w:val="0"/>
        </w:trPr>
        <w:tc>
          <w:tcPr/>
          <w:p w:rsidR="00000000" w:rsidDel="00000000" w:rsidP="00000000" w:rsidRDefault="00000000" w:rsidRPr="00000000" w14:paraId="00000025">
            <w:pPr>
              <w:spacing w:after="12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Механізми нагляду:</w:t>
            </w:r>
          </w:p>
        </w:tc>
        <w:tc>
          <w:tcPr/>
          <w:p w:rsidR="00000000" w:rsidDel="00000000" w:rsidP="00000000" w:rsidRDefault="00000000" w:rsidRPr="00000000" w14:paraId="00000026">
            <w:pPr>
              <w:spacing w:after="120" w:line="240" w:lineRule="auto"/>
              <w:ind w:left="-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Консультант/ка буде діяти під керівництвом Міністерства соціальної політики України у кооперації з призначеним співробітником/цею UNFPA.</w:t>
            </w:r>
          </w:p>
        </w:tc>
      </w:tr>
      <w:tr>
        <w:trPr>
          <w:cantSplit w:val="0"/>
          <w:tblHeader w:val="0"/>
        </w:trPr>
        <w:tc>
          <w:tcPr/>
          <w:p w:rsidR="00000000" w:rsidDel="00000000" w:rsidP="00000000" w:rsidRDefault="00000000" w:rsidRPr="00000000" w14:paraId="00000027">
            <w:pPr>
              <w:spacing w:after="12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Очікувані відрядження:</w:t>
            </w:r>
          </w:p>
        </w:tc>
        <w:tc>
          <w:tcPr/>
          <w:p w:rsidR="00000000" w:rsidDel="00000000" w:rsidP="00000000" w:rsidRDefault="00000000" w:rsidRPr="00000000" w14:paraId="00000028">
            <w:pPr>
              <w:spacing w:after="120" w:line="240" w:lineRule="auto"/>
              <w:ind w:left="-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Можливі</w:t>
            </w:r>
          </w:p>
        </w:tc>
      </w:tr>
      <w:tr>
        <w:trPr>
          <w:cantSplit w:val="0"/>
          <w:tblHeader w:val="0"/>
        </w:trPr>
        <w:tc>
          <w:tcPr/>
          <w:p w:rsidR="00000000" w:rsidDel="00000000" w:rsidP="00000000" w:rsidRDefault="00000000" w:rsidRPr="00000000" w14:paraId="00000029">
            <w:pPr>
              <w:spacing w:after="12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Необхідний досвід, кваліфікація та компетенції, включаючи вимоги до знання мов:</w:t>
            </w:r>
          </w:p>
        </w:tc>
        <w:tc>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120" w:line="240" w:lineRule="auto"/>
              <w:ind w:left="0" w:hanging="2"/>
              <w:jc w:val="both"/>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Освітні вимоги:</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3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Вища юридична освіта, вища освіта у сфері публічного адміністрування, соціальних наук, міжнародних відносин, прав людини, проєктного менеджменту чи споріднених сфер.</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120" w:line="240" w:lineRule="auto"/>
              <w:ind w:left="0" w:hanging="2"/>
              <w:jc w:val="both"/>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Досвід, знання та навички:</w:t>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3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Мінімум 2 роки досвіду роботи у сферах розвитку та/або впровадження реформ.</w:t>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3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Попередній досвід сприяння координації та співпраці між урядовими, неурядовими організаціями або агенціями ООН чи іншими міжнародними структурами. </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3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Відмінні аналітичні, писемні та комунікаційні навички; попередній досвід у сфері розробки політик, законів та інших документів буде перевагою.</w:t>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3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Досвід розробки та управління проєктами на регіональному або національному рівні буде перевагою.</w:t>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3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Знання законодавства та соціальної політики у сфері протидії ГЗН та домашньому насильству буде перевагою.</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3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Мова: вільне володіння українською мовою, робочий рівень англійської мови буде перевагою.</w:t>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3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Відмінні навички роботи з комп'ютером, знання онлайн-інструментів для комунікації</w:t>
            </w:r>
          </w:p>
        </w:tc>
      </w:tr>
      <w:tr>
        <w:trPr>
          <w:cantSplit w:val="0"/>
          <w:tblHeader w:val="0"/>
        </w:trPr>
        <w:tc>
          <w:tcPr/>
          <w:p w:rsidR="00000000" w:rsidDel="00000000" w:rsidP="00000000" w:rsidRDefault="00000000" w:rsidRPr="00000000" w14:paraId="00000034">
            <w:pPr>
              <w:spacing w:after="12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Ресурси/послуги, що надаватимуться UNFPA або партнером-виконавцем (наприклад, підтримка, офісні приміщення, обладнання), якщо це передбачено:</w:t>
            </w:r>
          </w:p>
        </w:tc>
        <w:tc>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120" w:line="240" w:lineRule="auto"/>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Приймаюча сторона надасть організаційну підтримку консультанту/ці у комунікації з імплементуючими партнерами, національними та місцевими стейкхолдерами.</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120" w:line="240" w:lineRule="auto"/>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Приймаюча сторона надасть консультанту/ці пакет документів, пов'язаних з аналізом та результатами попередніх досліджень на означену тему.</w:t>
            </w:r>
          </w:p>
          <w:p w:rsidR="00000000" w:rsidDel="00000000" w:rsidP="00000000" w:rsidRDefault="00000000" w:rsidRPr="00000000" w14:paraId="00000037">
            <w:pPr>
              <w:spacing w:after="120" w:line="240" w:lineRule="auto"/>
              <w:ind w:left="-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Додаткові послуги, що надаються узгоджуються з приймаючою стороною та UNFPA окремо.</w:t>
            </w:r>
          </w:p>
        </w:tc>
      </w:tr>
      <w:tr>
        <w:trPr>
          <w:cantSplit w:val="0"/>
          <w:tblHeader w:val="0"/>
        </w:trPr>
        <w:tc>
          <w:tcPr/>
          <w:p w:rsidR="00000000" w:rsidDel="00000000" w:rsidP="00000000" w:rsidRDefault="00000000" w:rsidRPr="00000000" w14:paraId="00000038">
            <w:pPr>
              <w:spacing w:after="12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Процедура подання заявок:</w:t>
            </w:r>
          </w:p>
        </w:tc>
        <w:tc>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120" w:line="240" w:lineRule="auto"/>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Консультант/ка буде обраний/а на основі відкритого конкурсу.</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120" w:line="240" w:lineRule="auto"/>
              <w:ind w:left="0" w:hanging="2"/>
              <w:jc w:val="both"/>
              <w:rPr>
                <w:rFonts w:ascii="Arial" w:cs="Arial" w:eastAsia="Arial" w:hAnsi="Arial"/>
                <w:sz w:val="20"/>
                <w:szCs w:val="20"/>
                <w:highlight w:val="white"/>
              </w:rPr>
            </w:pPr>
            <w:r w:rsidDel="00000000" w:rsidR="00000000" w:rsidRPr="00000000">
              <w:rPr>
                <w:rFonts w:ascii="Arial" w:cs="Arial" w:eastAsia="Arial" w:hAnsi="Arial"/>
                <w:sz w:val="20"/>
                <w:szCs w:val="20"/>
                <w:rtl w:val="0"/>
              </w:rPr>
              <w:t xml:space="preserve">Кінцевий термін подачі заявок:</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b w:val="1"/>
                <w:sz w:val="20"/>
                <w:szCs w:val="20"/>
                <w:highlight w:val="white"/>
                <w:rtl w:val="0"/>
              </w:rPr>
              <w:t xml:space="preserve">8 грудня 2024 року.</w:t>
            </w:r>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120" w:line="240" w:lineRule="auto"/>
              <w:ind w:left="0" w:hanging="2"/>
              <w:jc w:val="both"/>
              <w:rPr>
                <w:rFonts w:ascii="Arial" w:cs="Arial" w:eastAsia="Arial" w:hAnsi="Arial"/>
                <w:i w:val="1"/>
                <w:sz w:val="20"/>
                <w:szCs w:val="20"/>
              </w:rPr>
            </w:pPr>
            <w:r w:rsidDel="00000000" w:rsidR="00000000" w:rsidRPr="00000000">
              <w:rPr>
                <w:rFonts w:ascii="Arial" w:cs="Arial" w:eastAsia="Arial" w:hAnsi="Arial"/>
                <w:sz w:val="20"/>
                <w:szCs w:val="20"/>
                <w:rtl w:val="0"/>
              </w:rPr>
              <w:t xml:space="preserve">Заявки мають бути надіслані на електронну пошту </w:t>
            </w:r>
            <w:hyperlink r:id="rId7">
              <w:r w:rsidDel="00000000" w:rsidR="00000000" w:rsidRPr="00000000">
                <w:rPr>
                  <w:rFonts w:ascii="Arial" w:cs="Arial" w:eastAsia="Arial" w:hAnsi="Arial"/>
                  <w:color w:val="1155cc"/>
                  <w:sz w:val="20"/>
                  <w:szCs w:val="20"/>
                  <w:u w:val="single"/>
                  <w:rtl w:val="0"/>
                </w:rPr>
                <w:t xml:space="preserve">ukraine.office@unfpa.org</w:t>
              </w:r>
            </w:hyperlink>
            <w:r w:rsidDel="00000000" w:rsidR="00000000" w:rsidRPr="00000000">
              <w:rPr>
                <w:rFonts w:ascii="Arial" w:cs="Arial" w:eastAsia="Arial" w:hAnsi="Arial"/>
                <w:sz w:val="20"/>
                <w:szCs w:val="20"/>
                <w:rtl w:val="0"/>
              </w:rPr>
              <w:t xml:space="preserve">. У темі листа необхідно зазначити: </w:t>
            </w:r>
            <w:r w:rsidDel="00000000" w:rsidR="00000000" w:rsidRPr="00000000">
              <w:rPr>
                <w:rFonts w:ascii="Arial" w:cs="Arial" w:eastAsia="Arial" w:hAnsi="Arial"/>
                <w:i w:val="1"/>
                <w:sz w:val="20"/>
                <w:szCs w:val="20"/>
                <w:rtl w:val="0"/>
              </w:rPr>
              <w:t xml:space="preserve">Expert on Strengthening the Competence of the Ministry of the Social Policy of Ukraine on CRSV Response.</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120" w:line="240" w:lineRule="auto"/>
              <w:ind w:left="0" w:hanging="2"/>
              <w:jc w:val="both"/>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Пакет документів повинен містити наступне:</w:t>
            </w:r>
          </w:p>
          <w:p w:rsidR="00000000" w:rsidDel="00000000" w:rsidP="00000000" w:rsidRDefault="00000000" w:rsidRPr="00000000" w14:paraId="0000003D">
            <w:pPr>
              <w:widowControl w:val="0"/>
              <w:numPr>
                <w:ilvl w:val="0"/>
                <w:numId w:val="1"/>
              </w:numPr>
              <w:pBdr>
                <w:top w:space="0" w:sz="0" w:val="nil"/>
                <w:left w:space="0" w:sz="0" w:val="nil"/>
                <w:bottom w:space="0" w:sz="0" w:val="nil"/>
                <w:right w:space="0" w:sz="0" w:val="nil"/>
                <w:between w:space="0" w:sz="0" w:val="nil"/>
              </w:pBdr>
              <w:spacing w:line="240" w:lineRule="auto"/>
              <w:ind w:left="454"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Детальне резюме.</w:t>
            </w:r>
          </w:p>
          <w:p w:rsidR="00000000" w:rsidDel="00000000" w:rsidP="00000000" w:rsidRDefault="00000000" w:rsidRPr="00000000" w14:paraId="0000003E">
            <w:pPr>
              <w:widowControl w:val="0"/>
              <w:numPr>
                <w:ilvl w:val="0"/>
                <w:numId w:val="1"/>
              </w:numPr>
              <w:pBdr>
                <w:top w:space="0" w:sz="0" w:val="nil"/>
                <w:left w:space="0" w:sz="0" w:val="nil"/>
                <w:bottom w:space="0" w:sz="0" w:val="nil"/>
                <w:right w:space="0" w:sz="0" w:val="nil"/>
                <w:between w:space="0" w:sz="0" w:val="nil"/>
              </w:pBdr>
              <w:spacing w:line="240" w:lineRule="auto"/>
              <w:ind w:left="454"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Мотиваційний лист. </w:t>
            </w:r>
          </w:p>
          <w:p w:rsidR="00000000" w:rsidDel="00000000" w:rsidP="00000000" w:rsidRDefault="00000000" w:rsidRPr="00000000" w14:paraId="0000003F">
            <w:pPr>
              <w:widowControl w:val="0"/>
              <w:numPr>
                <w:ilvl w:val="0"/>
                <w:numId w:val="1"/>
              </w:numPr>
              <w:pBdr>
                <w:top w:space="0" w:sz="0" w:val="nil"/>
                <w:left w:space="0" w:sz="0" w:val="nil"/>
                <w:bottom w:space="0" w:sz="0" w:val="nil"/>
                <w:right w:space="0" w:sz="0" w:val="nil"/>
                <w:between w:space="0" w:sz="0" w:val="nil"/>
              </w:pBdr>
              <w:spacing w:after="120" w:line="240" w:lineRule="auto"/>
              <w:ind w:left="454"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Зазначення очікуваного рівня оплати.</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120" w:line="240" w:lineRule="auto"/>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Додаткові документи (дипломи, сертифікати тощо) можуть запитуватись на пізнішому етапі для підтвердження професійного досвіду.</w:t>
            </w:r>
          </w:p>
          <w:p w:rsidR="00000000" w:rsidDel="00000000" w:rsidP="00000000" w:rsidRDefault="00000000" w:rsidRPr="00000000" w14:paraId="00000041">
            <w:pPr>
              <w:spacing w:after="120" w:line="240" w:lineRule="auto"/>
              <w:ind w:left="-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Заявки, підготовлені та надіслані з порушенням вищевказаної процедури, можуть не бути розглянуті.</w:t>
            </w:r>
          </w:p>
        </w:tc>
      </w:tr>
      <w:tr>
        <w:trPr>
          <w:cantSplit w:val="0"/>
          <w:tblHeader w:val="0"/>
        </w:trPr>
        <w:tc>
          <w:tcPr/>
          <w:p w:rsidR="00000000" w:rsidDel="00000000" w:rsidP="00000000" w:rsidRDefault="00000000" w:rsidRPr="00000000" w14:paraId="00000042">
            <w:pPr>
              <w:spacing w:after="12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Інша необхідна інформація або особливі умови, якщо такі є:</w:t>
            </w:r>
          </w:p>
        </w:tc>
        <w:tc>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120" w:line="240" w:lineRule="auto"/>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Винагорода за консультаційні послуги сплачується щомісяця після прийняття результатів (звіту). Будь-які зауваження, пропозиції, скарги або претензії до консультанта/ки щодо послуг, наданих відповідно до цього технічного завдання, повинні бути надані консультанту/ці в письмовій формі протягом 10 днів після подання звіту щодо виконаних робіт.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120" w:line="240" w:lineRule="auto"/>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Обсяг робіт, які мають бути виконані консультантом/кою відповідно до цього технічного завдання, а також інші умови надання консультаційних послуг можуть бути змінені за необхідності шляхом письмової згоди між консультантом/кою та UNFPA у погодженні з приймаючою стороною.</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after="120" w:line="240" w:lineRule="auto"/>
              <w:ind w:left="0" w:hanging="2"/>
              <w:jc w:val="both"/>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Інтелектуальна власність:</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after="120" w:line="240" w:lineRule="auto"/>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Вся інформація, що стосується Спільної програми з протидії сексуальному насильству, пов'язаному з конфліктом (СНПК) (документальна, аудіо, візуальна, цифрова, проєктна документація тощо) та належить UNFPA, іншим співвиконавцям, а також Міністерству соціальної політики України, з якою консультант/ка може працювати під час виконання своїх обов'язків за цим технічним завданням, залишається власністю UNFPA, Міністерства соціальної політики України та інших відповідних співвиконавців з виключними правами на її використання. За винятком цілей цього технічного завдання, інформація не може бути розголошена публічно або використана в будь-який спосіб без письмового дозволу UNFPA, Міністерства соціальної політики України та/або інших організацій-виконавців відповідно до чинного національного та міжнародного законодавства про авторське право.</w:t>
            </w:r>
          </w:p>
        </w:tc>
      </w:tr>
    </w:tbl>
    <w:p w:rsidR="00000000" w:rsidDel="00000000" w:rsidP="00000000" w:rsidRDefault="00000000" w:rsidRPr="00000000" w14:paraId="00000047">
      <w:pPr>
        <w:spacing w:after="12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8">
      <w:pPr>
        <w:spacing w:after="120" w:line="240" w:lineRule="auto"/>
        <w:ind w:left="-2" w:firstLine="0"/>
        <w:rPr>
          <w:rFonts w:ascii="Arial" w:cs="Arial" w:eastAsia="Arial" w:hAnsi="Arial"/>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Courier New"/>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spacing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2e75b5"/>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2e75b5"/>
      <w:sz w:val="32"/>
      <w:szCs w:val="32"/>
    </w:rPr>
  </w:style>
  <w:style w:type="paragraph" w:styleId="Heading3">
    <w:name w:val="heading 3"/>
    <w:basedOn w:val="Normal"/>
    <w:next w:val="Normal"/>
    <w:pPr>
      <w:keepNext w:val="1"/>
      <w:keepLines w:val="1"/>
      <w:spacing w:after="80" w:before="160" w:lineRule="auto"/>
    </w:pPr>
    <w:rPr>
      <w:color w:val="2e75b5"/>
      <w:sz w:val="28"/>
      <w:szCs w:val="28"/>
    </w:rPr>
  </w:style>
  <w:style w:type="paragraph" w:styleId="Heading4">
    <w:name w:val="heading 4"/>
    <w:basedOn w:val="Normal"/>
    <w:next w:val="Normal"/>
    <w:pPr>
      <w:keepNext w:val="1"/>
      <w:keepLines w:val="1"/>
      <w:spacing w:after="40" w:before="80" w:lineRule="auto"/>
    </w:pPr>
    <w:rPr>
      <w:i w:val="1"/>
      <w:color w:val="2e75b5"/>
    </w:rPr>
  </w:style>
  <w:style w:type="paragraph" w:styleId="Heading5">
    <w:name w:val="heading 5"/>
    <w:basedOn w:val="Normal"/>
    <w:next w:val="Normal"/>
    <w:pPr>
      <w:keepNext w:val="1"/>
      <w:keepLines w:val="1"/>
      <w:spacing w:after="40" w:before="80" w:lineRule="auto"/>
    </w:pPr>
    <w:rPr>
      <w:color w:val="2e75b5"/>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2e75b5"/>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2e75b5"/>
      <w:sz w:val="32"/>
      <w:szCs w:val="32"/>
    </w:rPr>
  </w:style>
  <w:style w:type="paragraph" w:styleId="Heading3">
    <w:name w:val="heading 3"/>
    <w:basedOn w:val="Normal"/>
    <w:next w:val="Normal"/>
    <w:pPr>
      <w:keepNext w:val="1"/>
      <w:keepLines w:val="1"/>
      <w:spacing w:after="80" w:before="160" w:lineRule="auto"/>
    </w:pPr>
    <w:rPr>
      <w:color w:val="2e75b5"/>
      <w:sz w:val="28"/>
      <w:szCs w:val="28"/>
    </w:rPr>
  </w:style>
  <w:style w:type="paragraph" w:styleId="Heading4">
    <w:name w:val="heading 4"/>
    <w:basedOn w:val="Normal"/>
    <w:next w:val="Normal"/>
    <w:pPr>
      <w:keepNext w:val="1"/>
      <w:keepLines w:val="1"/>
      <w:spacing w:after="40" w:before="80" w:lineRule="auto"/>
    </w:pPr>
    <w:rPr>
      <w:i w:val="1"/>
      <w:color w:val="2e75b5"/>
    </w:rPr>
  </w:style>
  <w:style w:type="paragraph" w:styleId="Heading5">
    <w:name w:val="heading 5"/>
    <w:basedOn w:val="Normal"/>
    <w:next w:val="Normal"/>
    <w:pPr>
      <w:keepNext w:val="1"/>
      <w:keepLines w:val="1"/>
      <w:spacing w:after="40" w:before="80" w:lineRule="auto"/>
    </w:pPr>
    <w:rPr>
      <w:color w:val="2e75b5"/>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a" w:default="1">
    <w:name w:val="Normal"/>
    <w:qFormat w:val="1"/>
    <w:rsid w:val="004B69F4"/>
    <w:pPr>
      <w:suppressAutoHyphens w:val="1"/>
      <w:spacing w:after="0" w:line="1" w:lineRule="atLeast"/>
      <w:ind w:left="-1" w:leftChars="-1" w:hanging="1" w:hangingChars="1"/>
      <w:textDirection w:val="btLr"/>
      <w:textAlignment w:val="top"/>
      <w:outlineLvl w:val="0"/>
    </w:pPr>
    <w:rPr>
      <w:rFonts w:ascii="Times New Roman" w:cs="Times New Roman" w:eastAsia="Times New Roman" w:hAnsi="Times New Roman"/>
      <w:position w:val="-1"/>
      <w:sz w:val="24"/>
      <w:szCs w:val="24"/>
      <w:lang w:val="en-GB"/>
    </w:rPr>
  </w:style>
  <w:style w:type="paragraph" w:styleId="1">
    <w:name w:val="heading 1"/>
    <w:basedOn w:val="a"/>
    <w:next w:val="a"/>
    <w:link w:val="10"/>
    <w:uiPriority w:val="9"/>
    <w:qFormat w:val="1"/>
    <w:rsid w:val="004B69F4"/>
    <w:pPr>
      <w:keepNext w:val="1"/>
      <w:keepLines w:val="1"/>
      <w:spacing w:after="80" w:before="360"/>
    </w:pPr>
    <w:rPr>
      <w:rFonts w:asciiTheme="majorHAnsi" w:cstheme="majorBidi" w:eastAsiaTheme="majorEastAsia" w:hAnsiTheme="majorHAnsi"/>
      <w:color w:val="2e74b5" w:themeColor="accent1" w:themeShade="0000BF"/>
      <w:sz w:val="40"/>
      <w:szCs w:val="40"/>
    </w:rPr>
  </w:style>
  <w:style w:type="paragraph" w:styleId="2">
    <w:name w:val="heading 2"/>
    <w:basedOn w:val="a"/>
    <w:next w:val="a"/>
    <w:link w:val="20"/>
    <w:uiPriority w:val="9"/>
    <w:semiHidden w:val="1"/>
    <w:unhideWhenUsed w:val="1"/>
    <w:qFormat w:val="1"/>
    <w:rsid w:val="004B69F4"/>
    <w:pPr>
      <w:keepNext w:val="1"/>
      <w:keepLines w:val="1"/>
      <w:spacing w:after="80" w:before="160"/>
      <w:outlineLvl w:val="1"/>
    </w:pPr>
    <w:rPr>
      <w:rFonts w:asciiTheme="majorHAnsi" w:cstheme="majorBidi" w:eastAsiaTheme="majorEastAsia" w:hAnsiTheme="majorHAnsi"/>
      <w:color w:val="2e74b5" w:themeColor="accent1" w:themeShade="0000BF"/>
      <w:sz w:val="32"/>
      <w:szCs w:val="32"/>
    </w:rPr>
  </w:style>
  <w:style w:type="paragraph" w:styleId="3">
    <w:name w:val="heading 3"/>
    <w:basedOn w:val="a"/>
    <w:next w:val="a"/>
    <w:link w:val="30"/>
    <w:uiPriority w:val="9"/>
    <w:semiHidden w:val="1"/>
    <w:unhideWhenUsed w:val="1"/>
    <w:qFormat w:val="1"/>
    <w:rsid w:val="004B69F4"/>
    <w:pPr>
      <w:keepNext w:val="1"/>
      <w:keepLines w:val="1"/>
      <w:spacing w:after="80" w:before="160"/>
      <w:outlineLvl w:val="2"/>
    </w:pPr>
    <w:rPr>
      <w:rFonts w:cstheme="majorBidi" w:eastAsiaTheme="majorEastAsia"/>
      <w:color w:val="2e74b5" w:themeColor="accent1" w:themeShade="0000BF"/>
      <w:sz w:val="28"/>
      <w:szCs w:val="28"/>
    </w:rPr>
  </w:style>
  <w:style w:type="paragraph" w:styleId="4">
    <w:name w:val="heading 4"/>
    <w:basedOn w:val="a"/>
    <w:next w:val="a"/>
    <w:link w:val="40"/>
    <w:uiPriority w:val="9"/>
    <w:semiHidden w:val="1"/>
    <w:unhideWhenUsed w:val="1"/>
    <w:qFormat w:val="1"/>
    <w:rsid w:val="004B69F4"/>
    <w:pPr>
      <w:keepNext w:val="1"/>
      <w:keepLines w:val="1"/>
      <w:spacing w:after="40" w:before="80"/>
      <w:outlineLvl w:val="3"/>
    </w:pPr>
    <w:rPr>
      <w:rFonts w:cstheme="majorBidi" w:eastAsiaTheme="majorEastAsia"/>
      <w:i w:val="1"/>
      <w:iCs w:val="1"/>
      <w:color w:val="2e74b5" w:themeColor="accent1" w:themeShade="0000BF"/>
    </w:rPr>
  </w:style>
  <w:style w:type="paragraph" w:styleId="5">
    <w:name w:val="heading 5"/>
    <w:basedOn w:val="a"/>
    <w:next w:val="a"/>
    <w:link w:val="50"/>
    <w:uiPriority w:val="9"/>
    <w:semiHidden w:val="1"/>
    <w:unhideWhenUsed w:val="1"/>
    <w:qFormat w:val="1"/>
    <w:rsid w:val="004B69F4"/>
    <w:pPr>
      <w:keepNext w:val="1"/>
      <w:keepLines w:val="1"/>
      <w:spacing w:after="40" w:before="80"/>
      <w:outlineLvl w:val="4"/>
    </w:pPr>
    <w:rPr>
      <w:rFonts w:cstheme="majorBidi" w:eastAsiaTheme="majorEastAsia"/>
      <w:color w:val="2e74b5" w:themeColor="accent1" w:themeShade="0000BF"/>
    </w:rPr>
  </w:style>
  <w:style w:type="paragraph" w:styleId="6">
    <w:name w:val="heading 6"/>
    <w:basedOn w:val="a"/>
    <w:next w:val="a"/>
    <w:link w:val="60"/>
    <w:uiPriority w:val="9"/>
    <w:semiHidden w:val="1"/>
    <w:unhideWhenUsed w:val="1"/>
    <w:qFormat w:val="1"/>
    <w:rsid w:val="004B69F4"/>
    <w:pPr>
      <w:keepNext w:val="1"/>
      <w:keepLines w:val="1"/>
      <w:spacing w:before="40"/>
      <w:outlineLvl w:val="5"/>
    </w:pPr>
    <w:rPr>
      <w:rFonts w:cstheme="majorBidi" w:eastAsiaTheme="majorEastAsia"/>
      <w:i w:val="1"/>
      <w:iCs w:val="1"/>
      <w:color w:val="595959" w:themeColor="text1" w:themeTint="0000A6"/>
    </w:rPr>
  </w:style>
  <w:style w:type="paragraph" w:styleId="7">
    <w:name w:val="heading 7"/>
    <w:basedOn w:val="a"/>
    <w:next w:val="a"/>
    <w:link w:val="70"/>
    <w:uiPriority w:val="9"/>
    <w:semiHidden w:val="1"/>
    <w:unhideWhenUsed w:val="1"/>
    <w:qFormat w:val="1"/>
    <w:rsid w:val="004B69F4"/>
    <w:pPr>
      <w:keepNext w:val="1"/>
      <w:keepLines w:val="1"/>
      <w:spacing w:before="40"/>
      <w:outlineLvl w:val="6"/>
    </w:pPr>
    <w:rPr>
      <w:rFonts w:cstheme="majorBidi" w:eastAsiaTheme="majorEastAsia"/>
      <w:color w:val="595959" w:themeColor="text1" w:themeTint="0000A6"/>
    </w:rPr>
  </w:style>
  <w:style w:type="paragraph" w:styleId="8">
    <w:name w:val="heading 8"/>
    <w:basedOn w:val="a"/>
    <w:next w:val="a"/>
    <w:link w:val="80"/>
    <w:uiPriority w:val="9"/>
    <w:semiHidden w:val="1"/>
    <w:unhideWhenUsed w:val="1"/>
    <w:qFormat w:val="1"/>
    <w:rsid w:val="004B69F4"/>
    <w:pPr>
      <w:keepNext w:val="1"/>
      <w:keepLines w:val="1"/>
      <w:outlineLvl w:val="7"/>
    </w:pPr>
    <w:rPr>
      <w:rFonts w:cstheme="majorBidi" w:eastAsiaTheme="majorEastAsia"/>
      <w:i w:val="1"/>
      <w:iCs w:val="1"/>
      <w:color w:val="272727" w:themeColor="text1" w:themeTint="0000D8"/>
    </w:rPr>
  </w:style>
  <w:style w:type="paragraph" w:styleId="9">
    <w:name w:val="heading 9"/>
    <w:basedOn w:val="a"/>
    <w:next w:val="a"/>
    <w:link w:val="90"/>
    <w:uiPriority w:val="9"/>
    <w:semiHidden w:val="1"/>
    <w:unhideWhenUsed w:val="1"/>
    <w:qFormat w:val="1"/>
    <w:rsid w:val="004B69F4"/>
    <w:pPr>
      <w:keepNext w:val="1"/>
      <w:keepLines w:val="1"/>
      <w:outlineLvl w:val="8"/>
    </w:pPr>
    <w:rPr>
      <w:rFonts w:cstheme="majorBidi" w:eastAsiaTheme="majorEastAsia"/>
      <w:color w:val="272727" w:themeColor="text1" w:themeTint="0000D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4B69F4"/>
    <w:rPr>
      <w:rFonts w:asciiTheme="majorHAnsi" w:cstheme="majorBidi" w:eastAsiaTheme="majorEastAsia" w:hAnsiTheme="majorHAnsi"/>
      <w:color w:val="2e74b5" w:themeColor="accent1" w:themeShade="0000BF"/>
      <w:sz w:val="40"/>
      <w:szCs w:val="40"/>
    </w:rPr>
  </w:style>
  <w:style w:type="character" w:styleId="20" w:customStyle="1">
    <w:name w:val="Заголовок 2 Знак"/>
    <w:basedOn w:val="a0"/>
    <w:link w:val="2"/>
    <w:uiPriority w:val="9"/>
    <w:semiHidden w:val="1"/>
    <w:rsid w:val="004B69F4"/>
    <w:rPr>
      <w:rFonts w:asciiTheme="majorHAnsi" w:cstheme="majorBidi" w:eastAsiaTheme="majorEastAsia" w:hAnsiTheme="majorHAnsi"/>
      <w:color w:val="2e74b5" w:themeColor="accent1" w:themeShade="0000BF"/>
      <w:sz w:val="32"/>
      <w:szCs w:val="32"/>
    </w:rPr>
  </w:style>
  <w:style w:type="character" w:styleId="30" w:customStyle="1">
    <w:name w:val="Заголовок 3 Знак"/>
    <w:basedOn w:val="a0"/>
    <w:link w:val="3"/>
    <w:uiPriority w:val="9"/>
    <w:semiHidden w:val="1"/>
    <w:rsid w:val="004B69F4"/>
    <w:rPr>
      <w:rFonts w:cstheme="majorBidi" w:eastAsiaTheme="majorEastAsia"/>
      <w:color w:val="2e74b5" w:themeColor="accent1" w:themeShade="0000BF"/>
      <w:sz w:val="28"/>
      <w:szCs w:val="28"/>
    </w:rPr>
  </w:style>
  <w:style w:type="character" w:styleId="40" w:customStyle="1">
    <w:name w:val="Заголовок 4 Знак"/>
    <w:basedOn w:val="a0"/>
    <w:link w:val="4"/>
    <w:uiPriority w:val="9"/>
    <w:semiHidden w:val="1"/>
    <w:rsid w:val="004B69F4"/>
    <w:rPr>
      <w:rFonts w:cstheme="majorBidi" w:eastAsiaTheme="majorEastAsia"/>
      <w:i w:val="1"/>
      <w:iCs w:val="1"/>
      <w:color w:val="2e74b5" w:themeColor="accent1" w:themeShade="0000BF"/>
    </w:rPr>
  </w:style>
  <w:style w:type="character" w:styleId="50" w:customStyle="1">
    <w:name w:val="Заголовок 5 Знак"/>
    <w:basedOn w:val="a0"/>
    <w:link w:val="5"/>
    <w:uiPriority w:val="9"/>
    <w:semiHidden w:val="1"/>
    <w:rsid w:val="004B69F4"/>
    <w:rPr>
      <w:rFonts w:cstheme="majorBidi" w:eastAsiaTheme="majorEastAsia"/>
      <w:color w:val="2e74b5" w:themeColor="accent1" w:themeShade="0000BF"/>
    </w:rPr>
  </w:style>
  <w:style w:type="character" w:styleId="60" w:customStyle="1">
    <w:name w:val="Заголовок 6 Знак"/>
    <w:basedOn w:val="a0"/>
    <w:link w:val="6"/>
    <w:uiPriority w:val="9"/>
    <w:semiHidden w:val="1"/>
    <w:rsid w:val="004B69F4"/>
    <w:rPr>
      <w:rFonts w:cstheme="majorBidi" w:eastAsiaTheme="majorEastAsia"/>
      <w:i w:val="1"/>
      <w:iCs w:val="1"/>
      <w:color w:val="595959" w:themeColor="text1" w:themeTint="0000A6"/>
    </w:rPr>
  </w:style>
  <w:style w:type="character" w:styleId="70" w:customStyle="1">
    <w:name w:val="Заголовок 7 Знак"/>
    <w:basedOn w:val="a0"/>
    <w:link w:val="7"/>
    <w:uiPriority w:val="9"/>
    <w:semiHidden w:val="1"/>
    <w:rsid w:val="004B69F4"/>
    <w:rPr>
      <w:rFonts w:cstheme="majorBidi" w:eastAsiaTheme="majorEastAsia"/>
      <w:color w:val="595959" w:themeColor="text1" w:themeTint="0000A6"/>
    </w:rPr>
  </w:style>
  <w:style w:type="character" w:styleId="80" w:customStyle="1">
    <w:name w:val="Заголовок 8 Знак"/>
    <w:basedOn w:val="a0"/>
    <w:link w:val="8"/>
    <w:uiPriority w:val="9"/>
    <w:semiHidden w:val="1"/>
    <w:rsid w:val="004B69F4"/>
    <w:rPr>
      <w:rFonts w:cstheme="majorBidi" w:eastAsiaTheme="majorEastAsia"/>
      <w:i w:val="1"/>
      <w:iCs w:val="1"/>
      <w:color w:val="272727" w:themeColor="text1" w:themeTint="0000D8"/>
    </w:rPr>
  </w:style>
  <w:style w:type="character" w:styleId="90" w:customStyle="1">
    <w:name w:val="Заголовок 9 Знак"/>
    <w:basedOn w:val="a0"/>
    <w:link w:val="9"/>
    <w:uiPriority w:val="9"/>
    <w:semiHidden w:val="1"/>
    <w:rsid w:val="004B69F4"/>
    <w:rPr>
      <w:rFonts w:cstheme="majorBidi" w:eastAsiaTheme="majorEastAsia"/>
      <w:color w:val="272727" w:themeColor="text1" w:themeTint="0000D8"/>
    </w:rPr>
  </w:style>
  <w:style w:type="paragraph" w:styleId="a3">
    <w:name w:val="Title"/>
    <w:basedOn w:val="a"/>
    <w:next w:val="a"/>
    <w:link w:val="a4"/>
    <w:uiPriority w:val="10"/>
    <w:qFormat w:val="1"/>
    <w:rsid w:val="004B69F4"/>
    <w:pPr>
      <w:spacing w:after="80" w:line="240" w:lineRule="auto"/>
      <w:contextualSpacing w:val="1"/>
    </w:pPr>
    <w:rPr>
      <w:rFonts w:asciiTheme="majorHAnsi" w:cstheme="majorBidi" w:eastAsiaTheme="majorEastAsia" w:hAnsiTheme="majorHAnsi"/>
      <w:spacing w:val="-10"/>
      <w:kern w:val="28"/>
      <w:sz w:val="56"/>
      <w:szCs w:val="56"/>
    </w:rPr>
  </w:style>
  <w:style w:type="character" w:styleId="a4" w:customStyle="1">
    <w:name w:val="Назва Знак"/>
    <w:basedOn w:val="a0"/>
    <w:link w:val="a3"/>
    <w:uiPriority w:val="10"/>
    <w:rsid w:val="004B69F4"/>
    <w:rPr>
      <w:rFonts w:asciiTheme="majorHAnsi" w:cstheme="majorBidi" w:eastAsiaTheme="majorEastAsia" w:hAnsiTheme="majorHAnsi"/>
      <w:spacing w:val="-10"/>
      <w:kern w:val="28"/>
      <w:sz w:val="56"/>
      <w:szCs w:val="56"/>
    </w:rPr>
  </w:style>
  <w:style w:type="paragraph" w:styleId="a5">
    <w:name w:val="Subtitle"/>
    <w:basedOn w:val="a"/>
    <w:next w:val="a"/>
    <w:link w:val="a6"/>
    <w:uiPriority w:val="11"/>
    <w:qFormat w:val="1"/>
    <w:rsid w:val="004B69F4"/>
    <w:pPr>
      <w:numPr>
        <w:ilvl w:val="1"/>
      </w:numPr>
      <w:ind w:left="-1" w:leftChars="-1" w:hanging="1" w:hangingChars="1"/>
    </w:pPr>
    <w:rPr>
      <w:rFonts w:cstheme="majorBidi" w:eastAsiaTheme="majorEastAsia"/>
      <w:color w:val="595959" w:themeColor="text1" w:themeTint="0000A6"/>
      <w:spacing w:val="15"/>
      <w:sz w:val="28"/>
      <w:szCs w:val="28"/>
    </w:rPr>
  </w:style>
  <w:style w:type="character" w:styleId="a6" w:customStyle="1">
    <w:name w:val="Підзаголовок Знак"/>
    <w:basedOn w:val="a0"/>
    <w:link w:val="a5"/>
    <w:uiPriority w:val="11"/>
    <w:rsid w:val="004B69F4"/>
    <w:rPr>
      <w:rFonts w:cstheme="majorBidi" w:eastAsiaTheme="majorEastAsia"/>
      <w:color w:val="595959" w:themeColor="text1" w:themeTint="0000A6"/>
      <w:spacing w:val="15"/>
      <w:sz w:val="28"/>
      <w:szCs w:val="28"/>
    </w:rPr>
  </w:style>
  <w:style w:type="paragraph" w:styleId="a7">
    <w:name w:val="Quote"/>
    <w:basedOn w:val="a"/>
    <w:next w:val="a"/>
    <w:link w:val="a8"/>
    <w:uiPriority w:val="29"/>
    <w:qFormat w:val="1"/>
    <w:rsid w:val="004B69F4"/>
    <w:pPr>
      <w:spacing w:before="160"/>
      <w:jc w:val="center"/>
    </w:pPr>
    <w:rPr>
      <w:i w:val="1"/>
      <w:iCs w:val="1"/>
      <w:color w:val="404040" w:themeColor="text1" w:themeTint="0000BF"/>
    </w:rPr>
  </w:style>
  <w:style w:type="character" w:styleId="a8" w:customStyle="1">
    <w:name w:val="Цитата Знак"/>
    <w:basedOn w:val="a0"/>
    <w:link w:val="a7"/>
    <w:uiPriority w:val="29"/>
    <w:rsid w:val="004B69F4"/>
    <w:rPr>
      <w:i w:val="1"/>
      <w:iCs w:val="1"/>
      <w:color w:val="404040" w:themeColor="text1" w:themeTint="0000BF"/>
    </w:rPr>
  </w:style>
  <w:style w:type="paragraph" w:styleId="a9">
    <w:name w:val="List Paragraph"/>
    <w:basedOn w:val="a"/>
    <w:uiPriority w:val="34"/>
    <w:qFormat w:val="1"/>
    <w:rsid w:val="004B69F4"/>
    <w:pPr>
      <w:ind w:left="720"/>
      <w:contextualSpacing w:val="1"/>
    </w:pPr>
  </w:style>
  <w:style w:type="character" w:styleId="aa">
    <w:name w:val="Intense Emphasis"/>
    <w:basedOn w:val="a0"/>
    <w:uiPriority w:val="21"/>
    <w:qFormat w:val="1"/>
    <w:rsid w:val="004B69F4"/>
    <w:rPr>
      <w:i w:val="1"/>
      <w:iCs w:val="1"/>
      <w:color w:val="2e74b5" w:themeColor="accent1" w:themeShade="0000BF"/>
    </w:rPr>
  </w:style>
  <w:style w:type="paragraph" w:styleId="ab">
    <w:name w:val="Intense Quote"/>
    <w:basedOn w:val="a"/>
    <w:next w:val="a"/>
    <w:link w:val="ac"/>
    <w:uiPriority w:val="30"/>
    <w:qFormat w:val="1"/>
    <w:rsid w:val="004B69F4"/>
    <w:pPr>
      <w:pBdr>
        <w:top w:color="2e74b5" w:space="10" w:sz="4" w:themeColor="accent1" w:themeShade="0000BF" w:val="single"/>
        <w:bottom w:color="2e74b5" w:space="10" w:sz="4" w:themeColor="accent1" w:themeShade="0000BF" w:val="single"/>
      </w:pBdr>
      <w:spacing w:after="360" w:before="360"/>
      <w:ind w:left="864" w:right="864"/>
      <w:jc w:val="center"/>
    </w:pPr>
    <w:rPr>
      <w:i w:val="1"/>
      <w:iCs w:val="1"/>
      <w:color w:val="2e74b5" w:themeColor="accent1" w:themeShade="0000BF"/>
    </w:rPr>
  </w:style>
  <w:style w:type="character" w:styleId="ac" w:customStyle="1">
    <w:name w:val="Насичена цитата Знак"/>
    <w:basedOn w:val="a0"/>
    <w:link w:val="ab"/>
    <w:uiPriority w:val="30"/>
    <w:rsid w:val="004B69F4"/>
    <w:rPr>
      <w:i w:val="1"/>
      <w:iCs w:val="1"/>
      <w:color w:val="2e74b5" w:themeColor="accent1" w:themeShade="0000BF"/>
    </w:rPr>
  </w:style>
  <w:style w:type="character" w:styleId="ad">
    <w:name w:val="Intense Reference"/>
    <w:basedOn w:val="a0"/>
    <w:uiPriority w:val="32"/>
    <w:qFormat w:val="1"/>
    <w:rsid w:val="004B69F4"/>
    <w:rPr>
      <w:b w:val="1"/>
      <w:bCs w:val="1"/>
      <w:smallCaps w:val="1"/>
      <w:color w:val="2e74b5" w:themeColor="accent1" w:themeShade="0000BF"/>
      <w:spacing w:val="5"/>
    </w:rPr>
  </w:style>
  <w:style w:type="table" w:styleId="ae">
    <w:name w:val="Table Grid"/>
    <w:basedOn w:val="a1"/>
    <w:uiPriority w:val="39"/>
    <w:rsid w:val="004B69F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ind w:left="0" w:hanging="1"/>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hanging="1"/>
      <w:jc w:val="left"/>
    </w:pPr>
    <w:rPr>
      <w:rFonts w:ascii="Times New Roman" w:cs="Times New Roman" w:eastAsia="Times New Roman" w:hAnsi="Times New Roman"/>
      <w:b w:val="0"/>
      <w:i w:val="0"/>
      <w:smallCaps w:val="0"/>
      <w:strike w:val="0"/>
      <w:color w:val="595959"/>
      <w:sz w:val="28"/>
      <w:szCs w:val="2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ukraine.office@unfp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IkkODW3gYriiMkqXrr1U92ibkA==">CgMxLjA4AHIhMTYtU0pBUG9rV29wenctN2g3VkVpV3J6c3hhejFCelpY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2024-08-29T11:29:00Z</dcterms:created>
  <dc:creator>Ольга Чуєва</dc:creator>
</cp:coreProperties>
</file>