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95A" w:rsidRPr="00D15BED" w:rsidRDefault="003F495A">
      <w:pPr>
        <w:ind w:left="0" w:hanging="2"/>
        <w:jc w:val="center"/>
        <w:rPr>
          <w:rFonts w:ascii="Calibri" w:eastAsia="Calibri" w:hAnsi="Calibri" w:cs="Calibri"/>
          <w:sz w:val="22"/>
          <w:szCs w:val="22"/>
          <w:lang w:val="uk-UA"/>
        </w:rPr>
      </w:pPr>
    </w:p>
    <w:tbl>
      <w:tblPr>
        <w:tblStyle w:val="af0"/>
        <w:tblW w:w="10686" w:type="dxa"/>
        <w:tblInd w:w="-303" w:type="dxa"/>
        <w:tblLayout w:type="fixed"/>
        <w:tblLook w:val="0000" w:firstRow="0" w:lastRow="0" w:firstColumn="0" w:lastColumn="0" w:noHBand="0" w:noVBand="0"/>
      </w:tblPr>
      <w:tblGrid>
        <w:gridCol w:w="2607"/>
        <w:gridCol w:w="8079"/>
      </w:tblGrid>
      <w:tr w:rsidR="003F495A">
        <w:trPr>
          <w:trHeight w:val="216"/>
        </w:trPr>
        <w:tc>
          <w:tcPr>
            <w:tcW w:w="10686" w:type="dxa"/>
            <w:gridSpan w:val="2"/>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109" w:after="54"/>
              <w:ind w:left="0" w:hanging="2"/>
              <w:jc w:val="center"/>
              <w:rPr>
                <w:rFonts w:ascii="Calibri" w:eastAsia="Calibri" w:hAnsi="Calibri" w:cs="Calibri"/>
                <w:sz w:val="22"/>
                <w:szCs w:val="22"/>
              </w:rPr>
            </w:pPr>
            <w:r>
              <w:rPr>
                <w:rFonts w:ascii="Calibri" w:eastAsia="Calibri" w:hAnsi="Calibri" w:cs="Calibri"/>
                <w:b/>
                <w:sz w:val="22"/>
                <w:szCs w:val="22"/>
              </w:rPr>
              <w:t>TERMS OF REFERENCE</w:t>
            </w:r>
          </w:p>
        </w:tc>
      </w:tr>
      <w:tr w:rsidR="003F495A">
        <w:tc>
          <w:tcPr>
            <w:tcW w:w="2607" w:type="dxa"/>
            <w:tcBorders>
              <w:top w:val="single" w:sz="6" w:space="0" w:color="000000"/>
              <w:left w:val="single" w:sz="6" w:space="0" w:color="000000"/>
              <w:bottom w:val="single" w:sz="4"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Hiring Office:</w:t>
            </w:r>
          </w:p>
        </w:tc>
        <w:tc>
          <w:tcPr>
            <w:tcW w:w="8079" w:type="dxa"/>
            <w:tcBorders>
              <w:top w:val="single" w:sz="6" w:space="0" w:color="000000"/>
              <w:left w:val="single" w:sz="6" w:space="0" w:color="000000"/>
              <w:bottom w:val="single" w:sz="4" w:space="0" w:color="000000"/>
              <w:right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UNFPA Ukraine</w:t>
            </w:r>
          </w:p>
        </w:tc>
      </w:tr>
      <w:tr w:rsidR="003F495A">
        <w:trPr>
          <w:trHeight w:val="126"/>
        </w:trPr>
        <w:tc>
          <w:tcPr>
            <w:tcW w:w="2607" w:type="dxa"/>
            <w:tcBorders>
              <w:top w:val="single" w:sz="6" w:space="0" w:color="000000"/>
              <w:left w:val="single" w:sz="6" w:space="0" w:color="000000"/>
              <w:bottom w:val="single" w:sz="6" w:space="0" w:color="000000"/>
            </w:tcBorders>
          </w:tcPr>
          <w:p w:rsidR="003F495A" w:rsidRDefault="00CD2D53">
            <w:pPr>
              <w:tabs>
                <w:tab w:val="left" w:pos="-720"/>
                <w:tab w:val="left" w:pos="1725"/>
              </w:tabs>
              <w:spacing w:before="40" w:after="54"/>
              <w:ind w:left="0" w:hanging="2"/>
              <w:rPr>
                <w:rFonts w:ascii="Calibri" w:eastAsia="Calibri" w:hAnsi="Calibri" w:cs="Calibri"/>
                <w:sz w:val="22"/>
                <w:szCs w:val="22"/>
              </w:rPr>
            </w:pPr>
            <w:r>
              <w:rPr>
                <w:rFonts w:ascii="Calibri" w:eastAsia="Calibri" w:hAnsi="Calibri" w:cs="Calibri"/>
                <w:sz w:val="22"/>
                <w:szCs w:val="22"/>
              </w:rPr>
              <w:t>Title:</w:t>
            </w:r>
          </w:p>
        </w:tc>
        <w:tc>
          <w:tcPr>
            <w:tcW w:w="8079" w:type="dxa"/>
            <w:tcBorders>
              <w:top w:val="single" w:sz="6" w:space="0" w:color="000000"/>
              <w:left w:val="single" w:sz="6" w:space="0" w:color="000000"/>
              <w:bottom w:val="single" w:sz="6" w:space="0" w:color="000000"/>
              <w:right w:val="single" w:sz="6" w:space="0" w:color="000000"/>
            </w:tcBorders>
          </w:tcPr>
          <w:p w:rsidR="003F495A" w:rsidRPr="007B405F" w:rsidRDefault="007B405F" w:rsidP="005B5B47">
            <w:pPr>
              <w:tabs>
                <w:tab w:val="left" w:pos="-720"/>
              </w:tabs>
              <w:spacing w:before="40" w:after="54"/>
              <w:ind w:leftChars="0" w:left="0" w:firstLineChars="0" w:firstLine="0"/>
              <w:rPr>
                <w:rFonts w:ascii="Calibri" w:eastAsia="Calibri" w:hAnsi="Calibri" w:cs="Calibri"/>
                <w:b/>
                <w:sz w:val="22"/>
                <w:szCs w:val="22"/>
              </w:rPr>
            </w:pPr>
            <w:r>
              <w:rPr>
                <w:rFonts w:ascii="Calibri" w:eastAsia="Calibri" w:hAnsi="Calibri" w:cs="Calibri"/>
                <w:b/>
                <w:sz w:val="22"/>
                <w:szCs w:val="22"/>
              </w:rPr>
              <w:t xml:space="preserve">National </w:t>
            </w:r>
            <w:r w:rsidR="00CD2D53">
              <w:rPr>
                <w:rFonts w:ascii="Calibri" w:eastAsia="Calibri" w:hAnsi="Calibri" w:cs="Calibri"/>
                <w:b/>
                <w:sz w:val="22"/>
                <w:szCs w:val="22"/>
              </w:rPr>
              <w:t>Consultant to</w:t>
            </w:r>
            <w:r w:rsidR="00F34AF2">
              <w:rPr>
                <w:rFonts w:ascii="Calibri" w:eastAsia="Calibri" w:hAnsi="Calibri" w:cs="Calibri"/>
                <w:b/>
                <w:sz w:val="22"/>
                <w:szCs w:val="22"/>
              </w:rPr>
              <w:t xml:space="preserve"> </w:t>
            </w:r>
            <w:r w:rsidR="00CD2D53">
              <w:rPr>
                <w:rFonts w:ascii="Calibri" w:eastAsia="Calibri" w:hAnsi="Calibri" w:cs="Calibri"/>
                <w:b/>
                <w:sz w:val="22"/>
                <w:szCs w:val="22"/>
              </w:rPr>
              <w:t xml:space="preserve">develop </w:t>
            </w:r>
            <w:r>
              <w:rPr>
                <w:rFonts w:ascii="Calibri" w:eastAsia="Calibri" w:hAnsi="Calibri" w:cs="Calibri"/>
                <w:b/>
                <w:sz w:val="22"/>
                <w:szCs w:val="22"/>
              </w:rPr>
              <w:t>recommendations for setting up</w:t>
            </w:r>
            <w:r w:rsidR="00CD2D53">
              <w:rPr>
                <w:rFonts w:ascii="Calibri" w:eastAsia="Calibri" w:hAnsi="Calibri" w:cs="Calibri"/>
                <w:b/>
                <w:sz w:val="22"/>
                <w:szCs w:val="22"/>
              </w:rPr>
              <w:t xml:space="preserve"> Accountability to Beneficiaries and </w:t>
            </w:r>
            <w:r>
              <w:rPr>
                <w:rFonts w:ascii="Calibri" w:eastAsia="Calibri" w:hAnsi="Calibri" w:cs="Calibri"/>
                <w:b/>
                <w:sz w:val="22"/>
                <w:szCs w:val="22"/>
              </w:rPr>
              <w:t>GBV Case Management</w:t>
            </w:r>
            <w:r w:rsidR="00BA0170">
              <w:rPr>
                <w:rFonts w:ascii="Calibri" w:eastAsia="Calibri" w:hAnsi="Calibri" w:cs="Calibri"/>
                <w:b/>
                <w:sz w:val="22"/>
                <w:szCs w:val="22"/>
              </w:rPr>
              <w:t xml:space="preserve"> systems</w:t>
            </w:r>
            <w:r>
              <w:rPr>
                <w:rFonts w:ascii="Calibri" w:eastAsia="Calibri" w:hAnsi="Calibri" w:cs="Calibri"/>
                <w:b/>
                <w:sz w:val="22"/>
                <w:szCs w:val="22"/>
              </w:rPr>
              <w:t xml:space="preserve"> in Ukraine</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Purpose of consultancy:</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 xml:space="preserve">UNFPA Ukraine </w:t>
            </w:r>
            <w:r w:rsidR="00FC230A">
              <w:rPr>
                <w:rFonts w:ascii="Calibri" w:eastAsia="Calibri" w:hAnsi="Calibri" w:cs="Calibri"/>
                <w:sz w:val="22"/>
                <w:szCs w:val="22"/>
                <w:highlight w:val="white"/>
              </w:rPr>
              <w:t xml:space="preserve">CO </w:t>
            </w:r>
            <w:r>
              <w:rPr>
                <w:rFonts w:ascii="Calibri" w:eastAsia="Calibri" w:hAnsi="Calibri" w:cs="Calibri"/>
                <w:sz w:val="22"/>
                <w:szCs w:val="22"/>
                <w:highlight w:val="white"/>
              </w:rPr>
              <w:t xml:space="preserve">is implementing the project </w:t>
            </w:r>
            <w:r w:rsidR="00B74E6B">
              <w:rPr>
                <w:rFonts w:ascii="Calibri" w:eastAsia="Calibri" w:hAnsi="Calibri" w:cs="Calibri"/>
                <w:sz w:val="22"/>
                <w:szCs w:val="22"/>
                <w:highlight w:val="white"/>
              </w:rPr>
              <w:t>EMBRACE (</w:t>
            </w:r>
            <w:r>
              <w:rPr>
                <w:rFonts w:ascii="Calibri" w:eastAsia="Calibri" w:hAnsi="Calibri" w:cs="Calibri"/>
                <w:sz w:val="22"/>
                <w:szCs w:val="22"/>
                <w:highlight w:val="white"/>
              </w:rPr>
              <w:t>Enhancing National and Regional Mechanisms to Build Responsive, Accountable and Cost-Effective System of Gender-Based Violence Response and Prevention</w:t>
            </w:r>
            <w:r w:rsidR="00B74E6B">
              <w:rPr>
                <w:rFonts w:ascii="Calibri" w:eastAsia="Calibri" w:hAnsi="Calibri" w:cs="Calibri"/>
                <w:sz w:val="22"/>
                <w:szCs w:val="22"/>
                <w:highlight w:val="white"/>
              </w:rPr>
              <w:t>)</w:t>
            </w:r>
            <w:r>
              <w:rPr>
                <w:rFonts w:ascii="Calibri" w:eastAsia="Calibri" w:hAnsi="Calibri" w:cs="Calibri"/>
                <w:sz w:val="22"/>
                <w:szCs w:val="22"/>
                <w:highlight w:val="white"/>
              </w:rPr>
              <w:t xml:space="preserve"> with </w:t>
            </w:r>
            <w:r w:rsidR="005B5B47">
              <w:rPr>
                <w:rFonts w:ascii="Calibri" w:eastAsia="Calibri" w:hAnsi="Calibri" w:cs="Calibri"/>
                <w:sz w:val="22"/>
                <w:szCs w:val="22"/>
                <w:highlight w:val="white"/>
              </w:rPr>
              <w:t xml:space="preserve">the </w:t>
            </w:r>
            <w:r>
              <w:rPr>
                <w:rFonts w:ascii="Calibri" w:eastAsia="Calibri" w:hAnsi="Calibri" w:cs="Calibri"/>
                <w:sz w:val="22"/>
                <w:szCs w:val="22"/>
                <w:highlight w:val="white"/>
              </w:rPr>
              <w:t xml:space="preserve">financial support of the </w:t>
            </w:r>
            <w:r w:rsidR="005B5B47">
              <w:rPr>
                <w:rFonts w:ascii="Calibri" w:eastAsia="Calibri" w:hAnsi="Calibri" w:cs="Calibri"/>
                <w:sz w:val="22"/>
                <w:szCs w:val="22"/>
                <w:highlight w:val="white"/>
              </w:rPr>
              <w:t xml:space="preserve">UK </w:t>
            </w:r>
            <w:r>
              <w:rPr>
                <w:rFonts w:ascii="Calibri" w:eastAsia="Calibri" w:hAnsi="Calibri" w:cs="Calibri"/>
                <w:sz w:val="22"/>
                <w:szCs w:val="22"/>
                <w:highlight w:val="white"/>
              </w:rPr>
              <w:t>Government. In 2021</w:t>
            </w:r>
            <w:r w:rsidR="00B74E6B">
              <w:rPr>
                <w:rFonts w:ascii="Calibri" w:eastAsia="Calibri" w:hAnsi="Calibri" w:cs="Calibri"/>
                <w:sz w:val="22"/>
                <w:szCs w:val="22"/>
                <w:highlight w:val="white"/>
              </w:rPr>
              <w:t>,</w:t>
            </w:r>
            <w:r>
              <w:rPr>
                <w:rFonts w:ascii="Calibri" w:eastAsia="Calibri" w:hAnsi="Calibri" w:cs="Calibri"/>
                <w:sz w:val="22"/>
                <w:szCs w:val="22"/>
                <w:highlight w:val="white"/>
              </w:rPr>
              <w:t xml:space="preserve"> the project, inter alia, focuses on a new priority strand </w:t>
            </w:r>
            <w:r w:rsidR="005B5B47">
              <w:rPr>
                <w:rFonts w:ascii="Calibri" w:eastAsia="Calibri" w:hAnsi="Calibri" w:cs="Calibri"/>
                <w:sz w:val="22"/>
                <w:szCs w:val="22"/>
                <w:highlight w:val="white"/>
              </w:rPr>
              <w:t>“</w:t>
            </w:r>
            <w:r>
              <w:rPr>
                <w:rFonts w:ascii="Calibri" w:eastAsia="Calibri" w:hAnsi="Calibri" w:cs="Calibri"/>
                <w:sz w:val="22"/>
                <w:szCs w:val="22"/>
                <w:highlight w:val="white"/>
              </w:rPr>
              <w:t>Accountability to Beneficiaries (GBV survivors)</w:t>
            </w:r>
            <w:r w:rsidR="005B5B47">
              <w:rPr>
                <w:rFonts w:ascii="Calibri" w:eastAsia="Calibri" w:hAnsi="Calibri" w:cs="Calibri"/>
                <w:sz w:val="22"/>
                <w:szCs w:val="22"/>
                <w:highlight w:val="white"/>
              </w:rPr>
              <w:t>”</w:t>
            </w:r>
            <w:r>
              <w:rPr>
                <w:rFonts w:ascii="Calibri" w:eastAsia="Calibri" w:hAnsi="Calibri" w:cs="Calibri"/>
                <w:sz w:val="22"/>
                <w:szCs w:val="22"/>
                <w:highlight w:val="white"/>
              </w:rPr>
              <w:t xml:space="preserve"> aiming at building the foundation for an accountable to GBV </w:t>
            </w:r>
            <w:proofErr w:type="gramStart"/>
            <w:r>
              <w:rPr>
                <w:rFonts w:ascii="Calibri" w:eastAsia="Calibri" w:hAnsi="Calibri" w:cs="Calibri"/>
                <w:sz w:val="22"/>
                <w:szCs w:val="22"/>
                <w:highlight w:val="white"/>
              </w:rPr>
              <w:t>survivors</w:t>
            </w:r>
            <w:proofErr w:type="gramEnd"/>
            <w:r>
              <w:rPr>
                <w:rFonts w:ascii="Calibri" w:eastAsia="Calibri" w:hAnsi="Calibri" w:cs="Calibri"/>
                <w:sz w:val="22"/>
                <w:szCs w:val="22"/>
                <w:highlight w:val="white"/>
              </w:rPr>
              <w:t xml:space="preserve"> national GBV response system</w:t>
            </w:r>
            <w:r w:rsidR="002A187B">
              <w:rPr>
                <w:rFonts w:ascii="Calibri" w:eastAsia="Calibri" w:hAnsi="Calibri" w:cs="Calibri"/>
                <w:sz w:val="22"/>
                <w:szCs w:val="22"/>
                <w:highlight w:val="white"/>
                <w:lang w:val="en-US"/>
              </w:rPr>
              <w:t xml:space="preserve"> in Ukraine</w:t>
            </w:r>
            <w:r>
              <w:rPr>
                <w:rFonts w:ascii="Calibri" w:eastAsia="Calibri" w:hAnsi="Calibri" w:cs="Calibri"/>
                <w:sz w:val="22"/>
                <w:szCs w:val="22"/>
                <w:highlight w:val="white"/>
              </w:rPr>
              <w:t>.</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Gender-</w:t>
            </w:r>
            <w:r w:rsidR="005B5B47">
              <w:rPr>
                <w:rFonts w:ascii="Calibri" w:eastAsia="Calibri" w:hAnsi="Calibri" w:cs="Calibri"/>
                <w:sz w:val="22"/>
                <w:szCs w:val="22"/>
                <w:highlight w:val="white"/>
              </w:rPr>
              <w:t>b</w:t>
            </w:r>
            <w:r>
              <w:rPr>
                <w:rFonts w:ascii="Calibri" w:eastAsia="Calibri" w:hAnsi="Calibri" w:cs="Calibri"/>
                <w:sz w:val="22"/>
                <w:szCs w:val="22"/>
                <w:highlight w:val="white"/>
              </w:rPr>
              <w:t xml:space="preserve">ased </w:t>
            </w:r>
            <w:r w:rsidR="005B5B47">
              <w:rPr>
                <w:rFonts w:ascii="Calibri" w:eastAsia="Calibri" w:hAnsi="Calibri" w:cs="Calibri"/>
                <w:sz w:val="22"/>
                <w:szCs w:val="22"/>
                <w:highlight w:val="white"/>
              </w:rPr>
              <w:t>v</w:t>
            </w:r>
            <w:r>
              <w:rPr>
                <w:rFonts w:ascii="Calibri" w:eastAsia="Calibri" w:hAnsi="Calibri" w:cs="Calibri"/>
                <w:sz w:val="22"/>
                <w:szCs w:val="22"/>
                <w:highlight w:val="white"/>
              </w:rPr>
              <w:t>iolence as a fundamental violation of the basic inalienable human rights and freedoms remains prevalent in Ukraine and represents a significant challenge for the country’s sustainable democratic development. In Ukraine, GBV is pervasive – 67% of women experienced psychological, physical or sexual violence since the age of 15 (OSCE 2019). Annually, 1.1 million Ukrainian women suffer from domestic and gender-based violence (UNFPA 2017). In the complex humanitarian context GBV remains a considerable protection issue that threatens security, well-being and full exercise of human rights of the most vulnerable people. With the purposes to enhance the GBV response system in Ukraine and to help the survivors become more active agents of building a future with zero GBV</w:t>
            </w:r>
            <w:r w:rsidR="005B5B47">
              <w:rPr>
                <w:rFonts w:ascii="Calibri" w:eastAsia="Calibri" w:hAnsi="Calibri" w:cs="Calibri"/>
                <w:sz w:val="22"/>
                <w:szCs w:val="22"/>
                <w:highlight w:val="white"/>
              </w:rPr>
              <w:t>,</w:t>
            </w:r>
            <w:r>
              <w:rPr>
                <w:rFonts w:ascii="Calibri" w:eastAsia="Calibri" w:hAnsi="Calibri" w:cs="Calibri"/>
                <w:sz w:val="22"/>
                <w:szCs w:val="22"/>
                <w:highlight w:val="white"/>
              </w:rPr>
              <w:t xml:space="preserve"> there is an actual need for the Accountability to Beneficiaries nationwide system. </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Accountability to Beneficiaries aims to put the needs and interests of GBV survivors at the centre of decision-making at the local and national levels, ensuring the most appropriate and relevant outcomes for them, while preserving the human rights and dignity of the most vulnerable women, men, girls and boys. At its core is the possibility of survivors to participate and raise their voices in decisions that affect their lives and receive information to make such decisions, have access to high quality services and assistance that align with international standards, appropriate to their needs and preferences, and provided by qualified personnel</w:t>
            </w:r>
            <w:r w:rsidR="005B5B47">
              <w:rPr>
                <w:rFonts w:ascii="Calibri" w:eastAsia="Calibri" w:hAnsi="Calibri" w:cs="Calibri"/>
                <w:sz w:val="22"/>
                <w:szCs w:val="22"/>
                <w:highlight w:val="white"/>
              </w:rPr>
              <w:t>. It</w:t>
            </w:r>
            <w:r w:rsidR="002C5616">
              <w:rPr>
                <w:rFonts w:ascii="Calibri" w:eastAsia="Calibri" w:hAnsi="Calibri" w:cs="Calibri"/>
                <w:sz w:val="22"/>
                <w:szCs w:val="22"/>
                <w:highlight w:val="white"/>
              </w:rPr>
              <w:t xml:space="preserve"> enables </w:t>
            </w:r>
            <w:r w:rsidR="005B5B47">
              <w:rPr>
                <w:rFonts w:ascii="Calibri" w:eastAsia="Calibri" w:hAnsi="Calibri" w:cs="Calibri"/>
                <w:sz w:val="22"/>
                <w:szCs w:val="22"/>
                <w:highlight w:val="white"/>
              </w:rPr>
              <w:t xml:space="preserve">survivors </w:t>
            </w:r>
            <w:r w:rsidR="002C5616">
              <w:rPr>
                <w:rFonts w:ascii="Calibri" w:eastAsia="Calibri" w:hAnsi="Calibri" w:cs="Calibri"/>
                <w:sz w:val="22"/>
                <w:szCs w:val="22"/>
                <w:highlight w:val="white"/>
              </w:rPr>
              <w:t xml:space="preserve">to feel </w:t>
            </w:r>
            <w:r w:rsidR="005B5B47">
              <w:rPr>
                <w:rFonts w:ascii="Calibri" w:eastAsia="Calibri" w:hAnsi="Calibri" w:cs="Calibri"/>
                <w:sz w:val="22"/>
                <w:szCs w:val="22"/>
                <w:highlight w:val="white"/>
              </w:rPr>
              <w:t xml:space="preserve">confident that </w:t>
            </w:r>
            <w:r>
              <w:rPr>
                <w:rFonts w:ascii="Calibri" w:eastAsia="Calibri" w:hAnsi="Calibri" w:cs="Calibri"/>
                <w:sz w:val="22"/>
                <w:szCs w:val="22"/>
                <w:highlight w:val="white"/>
              </w:rPr>
              <w:t xml:space="preserve">each case </w:t>
            </w:r>
            <w:proofErr w:type="gramStart"/>
            <w:r>
              <w:rPr>
                <w:rFonts w:ascii="Calibri" w:eastAsia="Calibri" w:hAnsi="Calibri" w:cs="Calibri"/>
                <w:sz w:val="22"/>
                <w:szCs w:val="22"/>
                <w:highlight w:val="white"/>
              </w:rPr>
              <w:t>will be duly considered</w:t>
            </w:r>
            <w:proofErr w:type="gramEnd"/>
            <w:r>
              <w:rPr>
                <w:rFonts w:ascii="Calibri" w:eastAsia="Calibri" w:hAnsi="Calibri" w:cs="Calibri"/>
                <w:sz w:val="22"/>
                <w:szCs w:val="22"/>
                <w:highlight w:val="white"/>
              </w:rPr>
              <w:t xml:space="preserve"> through a proper and effective GBV case management, and </w:t>
            </w:r>
            <w:r w:rsidR="00F75ECC">
              <w:rPr>
                <w:rFonts w:ascii="Calibri" w:eastAsia="Calibri" w:hAnsi="Calibri" w:cs="Calibri"/>
                <w:sz w:val="22"/>
                <w:szCs w:val="22"/>
                <w:highlight w:val="white"/>
              </w:rPr>
              <w:t xml:space="preserve">that they </w:t>
            </w:r>
            <w:r>
              <w:rPr>
                <w:rFonts w:ascii="Calibri" w:eastAsia="Calibri" w:hAnsi="Calibri" w:cs="Calibri"/>
                <w:sz w:val="22"/>
                <w:szCs w:val="22"/>
                <w:highlight w:val="white"/>
              </w:rPr>
              <w:t>have access to responsive mechanisms to provide feedback and complaints. In practice, the Accountability to Beneficiaries system also ensures and strengthens transparency and good governance at all levels of public life and builds a better trust between state authorities and people they serve.</w:t>
            </w:r>
          </w:p>
          <w:p w:rsidR="003F495A" w:rsidRDefault="003F495A">
            <w:pPr>
              <w:ind w:left="0" w:hanging="2"/>
              <w:jc w:val="both"/>
              <w:rPr>
                <w:rFonts w:ascii="Calibri" w:eastAsia="Calibri" w:hAnsi="Calibri" w:cs="Calibri"/>
                <w:sz w:val="22"/>
                <w:szCs w:val="22"/>
                <w:highlight w:val="white"/>
              </w:rPr>
            </w:pPr>
          </w:p>
          <w:p w:rsidR="003F495A" w:rsidRDefault="00CD2D53">
            <w:pPr>
              <w:ind w:left="0" w:hanging="2"/>
              <w:jc w:val="both"/>
              <w:rPr>
                <w:rFonts w:ascii="Calibri" w:eastAsia="Calibri" w:hAnsi="Calibri" w:cs="Calibri"/>
                <w:sz w:val="22"/>
                <w:szCs w:val="22"/>
                <w:highlight w:val="white"/>
              </w:rPr>
            </w:pPr>
            <w:r>
              <w:rPr>
                <w:rFonts w:ascii="Calibri" w:eastAsia="Calibri" w:hAnsi="Calibri" w:cs="Calibri"/>
                <w:sz w:val="22"/>
                <w:szCs w:val="22"/>
                <w:highlight w:val="white"/>
              </w:rPr>
              <w:t>GBV case management is an integral part of GBV response in development and humanitarian settings. It shares the responsibility for ensuring that survivors are well informed about all options/services available to them and the issues facing a survivor are identified and followed up in a coordinated way. Thus, a survivor-centred Case Management is fundamental for a robust Accountability to Beneficiaries system.</w:t>
            </w:r>
          </w:p>
          <w:p w:rsidR="003F495A" w:rsidRDefault="003F495A">
            <w:pPr>
              <w:ind w:left="0" w:hanging="2"/>
              <w:jc w:val="both"/>
              <w:rPr>
                <w:rFonts w:ascii="Calibri" w:eastAsia="Calibri" w:hAnsi="Calibri" w:cs="Calibri"/>
                <w:sz w:val="22"/>
                <w:szCs w:val="22"/>
                <w:highlight w:val="white"/>
              </w:rPr>
            </w:pPr>
          </w:p>
          <w:p w:rsidR="00B74E6B" w:rsidRDefault="00FC230A">
            <w:pPr>
              <w:ind w:left="0" w:hanging="2"/>
              <w:jc w:val="both"/>
              <w:rPr>
                <w:rFonts w:ascii="Calibri" w:eastAsia="Calibri" w:hAnsi="Calibri" w:cs="Calibri"/>
                <w:sz w:val="22"/>
                <w:szCs w:val="22"/>
                <w:highlight w:val="white"/>
              </w:rPr>
            </w:pPr>
            <w:r w:rsidRPr="00FC230A">
              <w:rPr>
                <w:rFonts w:ascii="Calibri" w:eastAsia="Calibri" w:hAnsi="Calibri" w:cs="Calibri"/>
                <w:sz w:val="22"/>
                <w:szCs w:val="22"/>
              </w:rPr>
              <w:t>National Consultant will prepare a</w:t>
            </w:r>
            <w:r w:rsidR="00F75ECC">
              <w:rPr>
                <w:rFonts w:ascii="Calibri" w:eastAsia="Calibri" w:hAnsi="Calibri" w:cs="Calibri"/>
                <w:sz w:val="22"/>
                <w:szCs w:val="22"/>
              </w:rPr>
              <w:t>n analysis of</w:t>
            </w:r>
            <w:r w:rsidRPr="00FC230A">
              <w:rPr>
                <w:rFonts w:ascii="Calibri" w:eastAsia="Calibri" w:hAnsi="Calibri" w:cs="Calibri"/>
                <w:sz w:val="22"/>
                <w:szCs w:val="22"/>
              </w:rPr>
              <w:t xml:space="preserve"> the existing Accountability to Beneficiaries and G</w:t>
            </w:r>
            <w:r w:rsidR="002A187B">
              <w:rPr>
                <w:rFonts w:ascii="Calibri" w:eastAsia="Calibri" w:hAnsi="Calibri" w:cs="Calibri"/>
                <w:sz w:val="22"/>
                <w:szCs w:val="22"/>
              </w:rPr>
              <w:t>BV Case Management mechanisms at</w:t>
            </w:r>
            <w:r w:rsidRPr="00FC230A">
              <w:rPr>
                <w:rFonts w:ascii="Calibri" w:eastAsia="Calibri" w:hAnsi="Calibri" w:cs="Calibri"/>
                <w:sz w:val="22"/>
                <w:szCs w:val="22"/>
              </w:rPr>
              <w:t xml:space="preserve"> the national and local levels in Ukraine. Based on the research conducted and o</w:t>
            </w:r>
            <w:r w:rsidR="007A4300">
              <w:rPr>
                <w:rFonts w:ascii="Calibri" w:eastAsia="Calibri" w:hAnsi="Calibri" w:cs="Calibri"/>
                <w:sz w:val="22"/>
                <w:szCs w:val="22"/>
              </w:rPr>
              <w:t xml:space="preserve">n the UNFPA </w:t>
            </w:r>
            <w:r w:rsidRPr="00FC230A">
              <w:rPr>
                <w:rFonts w:ascii="Calibri" w:eastAsia="Calibri" w:hAnsi="Calibri" w:cs="Calibri"/>
                <w:sz w:val="22"/>
                <w:szCs w:val="22"/>
              </w:rPr>
              <w:t>conceptual framework on Accountability to Beneficiaries and Case M</w:t>
            </w:r>
            <w:r w:rsidR="00800186">
              <w:rPr>
                <w:rFonts w:ascii="Calibri" w:eastAsia="Calibri" w:hAnsi="Calibri" w:cs="Calibri"/>
                <w:sz w:val="22"/>
                <w:szCs w:val="22"/>
              </w:rPr>
              <w:t>anagement in GBV response, the National C</w:t>
            </w:r>
            <w:r w:rsidRPr="00FC230A">
              <w:rPr>
                <w:rFonts w:ascii="Calibri" w:eastAsia="Calibri" w:hAnsi="Calibri" w:cs="Calibri"/>
                <w:sz w:val="22"/>
                <w:szCs w:val="22"/>
              </w:rPr>
              <w:t xml:space="preserve">onsultant will also prepare recommendations </w:t>
            </w:r>
            <w:r w:rsidR="00F75ECC">
              <w:rPr>
                <w:rFonts w:ascii="Calibri" w:eastAsia="Calibri" w:hAnsi="Calibri" w:cs="Calibri"/>
                <w:sz w:val="22"/>
                <w:szCs w:val="22"/>
              </w:rPr>
              <w:t>for</w:t>
            </w:r>
            <w:r w:rsidR="00F75ECC" w:rsidRPr="00FC230A">
              <w:rPr>
                <w:rFonts w:ascii="Calibri" w:eastAsia="Calibri" w:hAnsi="Calibri" w:cs="Calibri"/>
                <w:sz w:val="22"/>
                <w:szCs w:val="22"/>
              </w:rPr>
              <w:t xml:space="preserve"> </w:t>
            </w:r>
            <w:r w:rsidRPr="00FC230A">
              <w:rPr>
                <w:rFonts w:ascii="Calibri" w:eastAsia="Calibri" w:hAnsi="Calibri" w:cs="Calibri"/>
                <w:sz w:val="22"/>
                <w:szCs w:val="22"/>
              </w:rPr>
              <w:t>setting up systems of Accou</w:t>
            </w:r>
            <w:r w:rsidR="007A4300">
              <w:rPr>
                <w:rFonts w:ascii="Calibri" w:eastAsia="Calibri" w:hAnsi="Calibri" w:cs="Calibri"/>
                <w:sz w:val="22"/>
                <w:szCs w:val="22"/>
              </w:rPr>
              <w:t xml:space="preserve">ntability to Beneficiaries and </w:t>
            </w:r>
            <w:r w:rsidRPr="00FC230A">
              <w:rPr>
                <w:rFonts w:ascii="Calibri" w:eastAsia="Calibri" w:hAnsi="Calibri" w:cs="Calibri"/>
                <w:sz w:val="22"/>
                <w:szCs w:val="22"/>
              </w:rPr>
              <w:t>GBV Case Management in the Ukrainian context.</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Scope of work:</w:t>
            </w:r>
          </w:p>
          <w:p w:rsidR="003F495A" w:rsidRDefault="003F495A">
            <w:pPr>
              <w:tabs>
                <w:tab w:val="left" w:pos="-720"/>
              </w:tabs>
              <w:spacing w:before="40" w:after="54"/>
              <w:ind w:left="0" w:hanging="2"/>
              <w:rPr>
                <w:rFonts w:ascii="Calibri" w:eastAsia="Calibri" w:hAnsi="Calibri" w:cs="Calibri"/>
                <w:sz w:val="22"/>
                <w:szCs w:val="22"/>
              </w:rPr>
            </w:pPr>
          </w:p>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i/>
                <w:sz w:val="22"/>
                <w:szCs w:val="22"/>
              </w:rPr>
              <w:lastRenderedPageBreak/>
              <w:t>(Description of services, activities, or outputs)</w:t>
            </w:r>
          </w:p>
        </w:tc>
        <w:tc>
          <w:tcPr>
            <w:tcW w:w="8079" w:type="dxa"/>
            <w:tcBorders>
              <w:top w:val="single" w:sz="6" w:space="0" w:color="000000"/>
              <w:left w:val="single" w:sz="6" w:space="0" w:color="000000"/>
              <w:bottom w:val="single" w:sz="6" w:space="0" w:color="000000"/>
              <w:right w:val="single" w:sz="6" w:space="0" w:color="000000"/>
            </w:tcBorders>
          </w:tcPr>
          <w:p w:rsidR="005269CB" w:rsidRDefault="005269CB" w:rsidP="005269CB">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r w:rsidRPr="005269CB">
              <w:rPr>
                <w:rFonts w:ascii="Calibri" w:eastAsia="Calibri" w:hAnsi="Calibri" w:cs="Calibri"/>
                <w:sz w:val="22"/>
                <w:szCs w:val="22"/>
              </w:rPr>
              <w:lastRenderedPageBreak/>
              <w:t xml:space="preserve">The assignment aims at preparing </w:t>
            </w:r>
            <w:r w:rsidR="00127AB1">
              <w:rPr>
                <w:rFonts w:ascii="Calibri" w:eastAsia="Calibri" w:hAnsi="Calibri" w:cs="Calibri"/>
                <w:sz w:val="22"/>
                <w:szCs w:val="22"/>
              </w:rPr>
              <w:t>an analysis</w:t>
            </w:r>
            <w:r w:rsidRPr="005269CB">
              <w:rPr>
                <w:rFonts w:ascii="Calibri" w:eastAsia="Calibri" w:hAnsi="Calibri" w:cs="Calibri"/>
                <w:sz w:val="22"/>
                <w:szCs w:val="22"/>
              </w:rPr>
              <w:t xml:space="preserve"> of </w:t>
            </w:r>
            <w:r w:rsidR="00D2180F">
              <w:rPr>
                <w:rFonts w:ascii="Calibri" w:eastAsia="Calibri" w:hAnsi="Calibri" w:cs="Calibri"/>
                <w:sz w:val="22"/>
                <w:szCs w:val="22"/>
              </w:rPr>
              <w:t xml:space="preserve">existing </w:t>
            </w:r>
            <w:r w:rsidRPr="005269CB">
              <w:rPr>
                <w:rFonts w:ascii="Calibri" w:eastAsia="Calibri" w:hAnsi="Calibri" w:cs="Calibri"/>
                <w:sz w:val="22"/>
                <w:szCs w:val="22"/>
              </w:rPr>
              <w:t>Accountabilit</w:t>
            </w:r>
            <w:r w:rsidR="007A4300">
              <w:rPr>
                <w:rFonts w:ascii="Calibri" w:eastAsia="Calibri" w:hAnsi="Calibri" w:cs="Calibri"/>
                <w:sz w:val="22"/>
                <w:szCs w:val="22"/>
              </w:rPr>
              <w:t>y to Beneficiaries and</w:t>
            </w:r>
            <w:r w:rsidRPr="005269CB">
              <w:rPr>
                <w:rFonts w:ascii="Calibri" w:eastAsia="Calibri" w:hAnsi="Calibri" w:cs="Calibri"/>
                <w:sz w:val="22"/>
                <w:szCs w:val="22"/>
              </w:rPr>
              <w:t xml:space="preserve"> GBV Case Management mechanisms in Ukraine and </w:t>
            </w:r>
            <w:r w:rsidR="00F75ECC">
              <w:rPr>
                <w:rFonts w:ascii="Calibri" w:eastAsia="Calibri" w:hAnsi="Calibri" w:cs="Calibri"/>
                <w:sz w:val="22"/>
                <w:szCs w:val="22"/>
              </w:rPr>
              <w:t>developing</w:t>
            </w:r>
            <w:r w:rsidR="00F75ECC" w:rsidRPr="005269CB">
              <w:rPr>
                <w:rFonts w:ascii="Calibri" w:eastAsia="Calibri" w:hAnsi="Calibri" w:cs="Calibri"/>
                <w:sz w:val="22"/>
                <w:szCs w:val="22"/>
              </w:rPr>
              <w:t xml:space="preserve"> </w:t>
            </w:r>
            <w:r w:rsidRPr="005269CB">
              <w:rPr>
                <w:rFonts w:ascii="Calibri" w:eastAsia="Calibri" w:hAnsi="Calibri" w:cs="Calibri"/>
                <w:sz w:val="22"/>
                <w:szCs w:val="22"/>
              </w:rPr>
              <w:t xml:space="preserve">recommendations </w:t>
            </w:r>
            <w:r w:rsidR="00F75ECC">
              <w:rPr>
                <w:rFonts w:ascii="Calibri" w:eastAsia="Calibri" w:hAnsi="Calibri" w:cs="Calibri"/>
                <w:sz w:val="22"/>
                <w:szCs w:val="22"/>
                <w:lang w:val="en-US"/>
              </w:rPr>
              <w:t>for</w:t>
            </w:r>
            <w:r w:rsidRPr="005269CB">
              <w:rPr>
                <w:rFonts w:ascii="Calibri" w:eastAsia="Calibri" w:hAnsi="Calibri" w:cs="Calibri"/>
                <w:sz w:val="22"/>
                <w:szCs w:val="22"/>
              </w:rPr>
              <w:t xml:space="preserve"> setting up Accountability to Beneficiaries and GBV Case Management systems</w:t>
            </w:r>
            <w:r w:rsidR="00D2180F">
              <w:rPr>
                <w:rFonts w:ascii="Calibri" w:eastAsia="Calibri" w:hAnsi="Calibri" w:cs="Calibri"/>
                <w:sz w:val="22"/>
                <w:szCs w:val="22"/>
              </w:rPr>
              <w:t xml:space="preserve"> in the Ukrainian context</w:t>
            </w:r>
            <w:r w:rsidRPr="005269CB">
              <w:rPr>
                <w:rFonts w:ascii="Calibri" w:eastAsia="Calibri" w:hAnsi="Calibri" w:cs="Calibri"/>
                <w:sz w:val="22"/>
                <w:szCs w:val="22"/>
              </w:rPr>
              <w:t>. Particularly the National Consultant will:</w:t>
            </w:r>
          </w:p>
          <w:p w:rsidR="005269CB" w:rsidRPr="005269CB" w:rsidRDefault="005269CB" w:rsidP="005269CB">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p>
          <w:p w:rsidR="005269CB" w:rsidRPr="005269CB" w:rsidRDefault="005269CB" w:rsidP="005269CB">
            <w:pPr>
              <w:pStyle w:val="af1"/>
              <w:numPr>
                <w:ilvl w:val="0"/>
                <w:numId w:val="2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269CB">
              <w:rPr>
                <w:rFonts w:ascii="Calibri" w:eastAsia="Calibri" w:hAnsi="Calibri" w:cs="Calibri"/>
                <w:sz w:val="22"/>
                <w:szCs w:val="22"/>
              </w:rPr>
              <w:t>Identify what mechanisms of Accountability to Beneficiaries and GBV Case Man</w:t>
            </w:r>
            <w:r w:rsidR="00D2180F">
              <w:rPr>
                <w:rFonts w:ascii="Calibri" w:eastAsia="Calibri" w:hAnsi="Calibri" w:cs="Calibri"/>
                <w:sz w:val="22"/>
                <w:szCs w:val="22"/>
              </w:rPr>
              <w:t xml:space="preserve">agement </w:t>
            </w:r>
            <w:r w:rsidRPr="005269CB">
              <w:rPr>
                <w:rFonts w:ascii="Calibri" w:eastAsia="Calibri" w:hAnsi="Calibri" w:cs="Calibri"/>
                <w:sz w:val="22"/>
                <w:szCs w:val="22"/>
              </w:rPr>
              <w:t>that are described</w:t>
            </w:r>
            <w:r w:rsidR="00D2180F">
              <w:rPr>
                <w:rFonts w:ascii="Calibri" w:eastAsia="Calibri" w:hAnsi="Calibri" w:cs="Calibri"/>
                <w:sz w:val="22"/>
                <w:szCs w:val="22"/>
              </w:rPr>
              <w:t xml:space="preserve"> and analysed in the </w:t>
            </w:r>
            <w:r w:rsidRPr="005269CB">
              <w:rPr>
                <w:rFonts w:ascii="Calibri" w:eastAsia="Calibri" w:hAnsi="Calibri" w:cs="Calibri"/>
                <w:sz w:val="22"/>
                <w:szCs w:val="22"/>
              </w:rPr>
              <w:t>UNFPA Ukraine CO conceptual framework are already established and functioning in Ukraine.</w:t>
            </w:r>
          </w:p>
          <w:p w:rsidR="005269CB" w:rsidRPr="005269CB" w:rsidRDefault="005269CB" w:rsidP="005269CB">
            <w:pPr>
              <w:pBdr>
                <w:top w:val="nil"/>
                <w:left w:val="nil"/>
                <w:bottom w:val="nil"/>
                <w:right w:val="nil"/>
                <w:between w:val="nil"/>
              </w:pBdr>
              <w:spacing w:line="240" w:lineRule="auto"/>
              <w:ind w:left="0" w:hanging="2"/>
              <w:jc w:val="both"/>
              <w:rPr>
                <w:rFonts w:ascii="Calibri" w:eastAsia="Calibri" w:hAnsi="Calibri" w:cs="Calibri"/>
                <w:sz w:val="22"/>
                <w:szCs w:val="22"/>
              </w:rPr>
            </w:pPr>
          </w:p>
          <w:p w:rsidR="005269CB" w:rsidRDefault="005269CB" w:rsidP="005269CB">
            <w:pPr>
              <w:pBdr>
                <w:top w:val="nil"/>
                <w:left w:val="nil"/>
                <w:bottom w:val="nil"/>
                <w:right w:val="nil"/>
                <w:between w:val="nil"/>
              </w:pBdr>
              <w:spacing w:line="240" w:lineRule="auto"/>
              <w:ind w:left="0" w:hanging="2"/>
              <w:jc w:val="both"/>
              <w:rPr>
                <w:rFonts w:ascii="Calibri" w:eastAsia="Calibri" w:hAnsi="Calibri" w:cs="Calibri"/>
                <w:sz w:val="22"/>
                <w:szCs w:val="22"/>
              </w:rPr>
            </w:pPr>
            <w:r w:rsidRPr="005269CB">
              <w:rPr>
                <w:rFonts w:ascii="Calibri" w:eastAsia="Calibri" w:hAnsi="Calibri" w:cs="Calibri"/>
                <w:sz w:val="22"/>
                <w:szCs w:val="22"/>
              </w:rPr>
              <w:t xml:space="preserve">For the purposes of preparing </w:t>
            </w:r>
            <w:r w:rsidR="00127AB1">
              <w:rPr>
                <w:rFonts w:ascii="Calibri" w:eastAsia="Calibri" w:hAnsi="Calibri" w:cs="Calibri"/>
                <w:sz w:val="22"/>
                <w:szCs w:val="22"/>
              </w:rPr>
              <w:t>analysis</w:t>
            </w:r>
            <w:r w:rsidR="00127AB1" w:rsidRPr="005269CB">
              <w:rPr>
                <w:rFonts w:ascii="Calibri" w:eastAsia="Calibri" w:hAnsi="Calibri" w:cs="Calibri"/>
                <w:sz w:val="22"/>
                <w:szCs w:val="22"/>
              </w:rPr>
              <w:t xml:space="preserve"> </w:t>
            </w:r>
            <w:r w:rsidRPr="005269CB">
              <w:rPr>
                <w:rFonts w:ascii="Calibri" w:eastAsia="Calibri" w:hAnsi="Calibri" w:cs="Calibri"/>
                <w:sz w:val="22"/>
                <w:szCs w:val="22"/>
              </w:rPr>
              <w:t>o</w:t>
            </w:r>
            <w:r w:rsidR="00127AB1">
              <w:rPr>
                <w:rFonts w:ascii="Calibri" w:eastAsia="Calibri" w:hAnsi="Calibri" w:cs="Calibri"/>
                <w:sz w:val="22"/>
                <w:szCs w:val="22"/>
              </w:rPr>
              <w:t>f</w:t>
            </w:r>
            <w:r w:rsidRPr="005269CB">
              <w:rPr>
                <w:rFonts w:ascii="Calibri" w:eastAsia="Calibri" w:hAnsi="Calibri" w:cs="Calibri"/>
                <w:sz w:val="22"/>
                <w:szCs w:val="22"/>
              </w:rPr>
              <w:t xml:space="preserve"> Accountability to Beneficiaries </w:t>
            </w:r>
            <w:r w:rsidR="007A4300" w:rsidRPr="005269CB">
              <w:rPr>
                <w:rFonts w:ascii="Calibri" w:eastAsia="Calibri" w:hAnsi="Calibri" w:cs="Calibri"/>
                <w:sz w:val="22"/>
                <w:szCs w:val="22"/>
              </w:rPr>
              <w:t>and GBV</w:t>
            </w:r>
            <w:r w:rsidRPr="005269CB">
              <w:rPr>
                <w:rFonts w:ascii="Calibri" w:eastAsia="Calibri" w:hAnsi="Calibri" w:cs="Calibri"/>
                <w:sz w:val="22"/>
                <w:szCs w:val="22"/>
              </w:rPr>
              <w:t xml:space="preserve"> Case Management mechanisms in </w:t>
            </w:r>
            <w:r w:rsidR="007A4300" w:rsidRPr="005269CB">
              <w:rPr>
                <w:rFonts w:ascii="Calibri" w:eastAsia="Calibri" w:hAnsi="Calibri" w:cs="Calibri"/>
                <w:sz w:val="22"/>
                <w:szCs w:val="22"/>
              </w:rPr>
              <w:t>Ukraine,</w:t>
            </w:r>
            <w:r w:rsidRPr="005269CB">
              <w:rPr>
                <w:rFonts w:ascii="Calibri" w:eastAsia="Calibri" w:hAnsi="Calibri" w:cs="Calibri"/>
                <w:sz w:val="22"/>
                <w:szCs w:val="22"/>
              </w:rPr>
              <w:t xml:space="preserve"> the Consultant </w:t>
            </w:r>
            <w:proofErr w:type="gramStart"/>
            <w:r w:rsidRPr="005269CB">
              <w:rPr>
                <w:rFonts w:ascii="Calibri" w:eastAsia="Calibri" w:hAnsi="Calibri" w:cs="Calibri"/>
                <w:sz w:val="22"/>
                <w:szCs w:val="22"/>
              </w:rPr>
              <w:t>is recommended and encourage</w:t>
            </w:r>
            <w:r w:rsidR="00D2180F">
              <w:rPr>
                <w:rFonts w:ascii="Calibri" w:eastAsia="Calibri" w:hAnsi="Calibri" w:cs="Calibri"/>
                <w:sz w:val="22"/>
                <w:szCs w:val="22"/>
              </w:rPr>
              <w:t>d to consider the</w:t>
            </w:r>
            <w:r w:rsidRPr="005269CB">
              <w:rPr>
                <w:rFonts w:ascii="Calibri" w:eastAsia="Calibri" w:hAnsi="Calibri" w:cs="Calibri"/>
                <w:sz w:val="22"/>
                <w:szCs w:val="22"/>
              </w:rPr>
              <w:t xml:space="preserve"> mechanisms under human rights system, good governance, GBV prevention and response system</w:t>
            </w:r>
            <w:proofErr w:type="gramEnd"/>
            <w:r w:rsidRPr="005269CB">
              <w:rPr>
                <w:rFonts w:ascii="Calibri" w:eastAsia="Calibri" w:hAnsi="Calibri" w:cs="Calibri"/>
                <w:sz w:val="22"/>
                <w:szCs w:val="22"/>
              </w:rPr>
              <w:t xml:space="preserve">. The Consultant </w:t>
            </w:r>
            <w:proofErr w:type="gramStart"/>
            <w:r w:rsidRPr="005269CB">
              <w:rPr>
                <w:rFonts w:ascii="Calibri" w:eastAsia="Calibri" w:hAnsi="Calibri" w:cs="Calibri"/>
                <w:sz w:val="22"/>
                <w:szCs w:val="22"/>
              </w:rPr>
              <w:t>is also recommended and encouraged to consider the accountability mechanisms established exclusively for the humanitarian context in Ukraine</w:t>
            </w:r>
            <w:proofErr w:type="gramEnd"/>
            <w:r w:rsidRPr="005269CB">
              <w:rPr>
                <w:rFonts w:ascii="Calibri" w:eastAsia="Calibri" w:hAnsi="Calibri" w:cs="Calibri"/>
                <w:sz w:val="22"/>
                <w:szCs w:val="22"/>
              </w:rPr>
              <w:t>.</w:t>
            </w:r>
          </w:p>
          <w:p w:rsidR="005269CB" w:rsidRPr="005269CB" w:rsidRDefault="005269CB" w:rsidP="005269CB">
            <w:pPr>
              <w:pBdr>
                <w:top w:val="nil"/>
                <w:left w:val="nil"/>
                <w:bottom w:val="nil"/>
                <w:right w:val="nil"/>
                <w:between w:val="nil"/>
              </w:pBdr>
              <w:spacing w:line="240" w:lineRule="auto"/>
              <w:ind w:left="0" w:hanging="2"/>
              <w:jc w:val="both"/>
              <w:rPr>
                <w:rFonts w:ascii="Calibri" w:eastAsia="Calibri" w:hAnsi="Calibri" w:cs="Calibri"/>
                <w:sz w:val="22"/>
                <w:szCs w:val="22"/>
              </w:rPr>
            </w:pPr>
          </w:p>
          <w:p w:rsidR="005269CB" w:rsidRDefault="00C734A4" w:rsidP="005269CB">
            <w:pPr>
              <w:pStyle w:val="af1"/>
              <w:numPr>
                <w:ilvl w:val="0"/>
                <w:numId w:val="2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Pr>
                <w:rFonts w:ascii="Calibri" w:eastAsia="Calibri" w:hAnsi="Calibri" w:cs="Calibri"/>
                <w:sz w:val="22"/>
                <w:szCs w:val="22"/>
              </w:rPr>
              <w:t xml:space="preserve">Suggest and describe how to establish effective </w:t>
            </w:r>
            <w:r w:rsidR="005269CB" w:rsidRPr="005269CB">
              <w:rPr>
                <w:rFonts w:ascii="Calibri" w:eastAsia="Calibri" w:hAnsi="Calibri" w:cs="Calibri"/>
                <w:sz w:val="22"/>
                <w:szCs w:val="22"/>
              </w:rPr>
              <w:t xml:space="preserve">Accountability to Beneficiaries </w:t>
            </w:r>
            <w:r w:rsidR="00D2180F">
              <w:rPr>
                <w:rFonts w:ascii="Calibri" w:eastAsia="Calibri" w:hAnsi="Calibri" w:cs="Calibri"/>
                <w:sz w:val="22"/>
                <w:szCs w:val="22"/>
              </w:rPr>
              <w:t>and GBV Case Management</w:t>
            </w:r>
            <w:r w:rsidR="007A4300">
              <w:rPr>
                <w:rFonts w:ascii="Calibri" w:eastAsia="Calibri" w:hAnsi="Calibri" w:cs="Calibri"/>
                <w:sz w:val="22"/>
                <w:szCs w:val="22"/>
                <w:lang w:val="uk-UA"/>
              </w:rPr>
              <w:t xml:space="preserve"> </w:t>
            </w:r>
            <w:r>
              <w:rPr>
                <w:rFonts w:ascii="Calibri" w:eastAsia="Calibri" w:hAnsi="Calibri" w:cs="Calibri"/>
                <w:sz w:val="22"/>
                <w:szCs w:val="22"/>
                <w:lang w:val="en-US"/>
              </w:rPr>
              <w:t xml:space="preserve">systems in </w:t>
            </w:r>
            <w:r w:rsidR="005269CB" w:rsidRPr="005269CB">
              <w:rPr>
                <w:rFonts w:ascii="Calibri" w:eastAsia="Calibri" w:hAnsi="Calibri" w:cs="Calibri"/>
                <w:sz w:val="22"/>
                <w:szCs w:val="22"/>
              </w:rPr>
              <w:t>Ukraine</w:t>
            </w:r>
            <w:r>
              <w:rPr>
                <w:rFonts w:ascii="Calibri" w:eastAsia="Calibri" w:hAnsi="Calibri" w:cs="Calibri"/>
                <w:sz w:val="22"/>
                <w:szCs w:val="22"/>
              </w:rPr>
              <w:t xml:space="preserve"> (outlining systems structure, key actors and coordination mechanisms). The vision should describe system architecture at different levels of complexity – minimum (foundational), optimal (robust) and advanced</w:t>
            </w:r>
            <w:r w:rsidR="00A3684C">
              <w:rPr>
                <w:rFonts w:ascii="Calibri" w:eastAsia="Calibri" w:hAnsi="Calibri" w:cs="Calibri"/>
                <w:sz w:val="22"/>
                <w:szCs w:val="22"/>
                <w:lang w:val="uk-UA"/>
              </w:rPr>
              <w:t xml:space="preserve"> – </w:t>
            </w:r>
            <w:r w:rsidR="00A3684C">
              <w:rPr>
                <w:rFonts w:ascii="Calibri" w:eastAsia="Calibri" w:hAnsi="Calibri" w:cs="Calibri"/>
                <w:sz w:val="22"/>
                <w:szCs w:val="22"/>
                <w:lang w:val="en-US"/>
              </w:rPr>
              <w:t xml:space="preserve">relevant and suitable </w:t>
            </w:r>
            <w:r w:rsidR="005269CB" w:rsidRPr="005269CB">
              <w:rPr>
                <w:rFonts w:ascii="Calibri" w:eastAsia="Calibri" w:hAnsi="Calibri" w:cs="Calibri"/>
                <w:sz w:val="22"/>
                <w:szCs w:val="22"/>
              </w:rPr>
              <w:t>for the Ukrainian context.</w:t>
            </w:r>
          </w:p>
          <w:p w:rsidR="005269CB" w:rsidRPr="005269CB" w:rsidRDefault="005269CB" w:rsidP="005269CB">
            <w:pPr>
              <w:pStyle w:val="af1"/>
              <w:pBdr>
                <w:top w:val="nil"/>
                <w:left w:val="nil"/>
                <w:bottom w:val="nil"/>
                <w:right w:val="nil"/>
                <w:between w:val="nil"/>
              </w:pBdr>
              <w:spacing w:line="240" w:lineRule="auto"/>
              <w:ind w:leftChars="0" w:left="718" w:firstLineChars="0" w:firstLine="0"/>
              <w:jc w:val="both"/>
              <w:rPr>
                <w:rFonts w:ascii="Calibri" w:eastAsia="Calibri" w:hAnsi="Calibri" w:cs="Calibri"/>
                <w:sz w:val="22"/>
                <w:szCs w:val="22"/>
              </w:rPr>
            </w:pPr>
          </w:p>
          <w:p w:rsidR="003F495A" w:rsidRDefault="005269CB" w:rsidP="005269CB">
            <w:pPr>
              <w:pStyle w:val="af1"/>
              <w:numPr>
                <w:ilvl w:val="0"/>
                <w:numId w:val="24"/>
              </w:numPr>
              <w:pBdr>
                <w:top w:val="nil"/>
                <w:left w:val="nil"/>
                <w:bottom w:val="nil"/>
                <w:right w:val="nil"/>
                <w:between w:val="nil"/>
              </w:pBdr>
              <w:spacing w:line="240" w:lineRule="auto"/>
              <w:ind w:leftChars="0" w:firstLineChars="0"/>
              <w:jc w:val="both"/>
              <w:rPr>
                <w:rFonts w:ascii="Calibri" w:eastAsia="Calibri" w:hAnsi="Calibri" w:cs="Calibri"/>
                <w:sz w:val="22"/>
                <w:szCs w:val="22"/>
              </w:rPr>
            </w:pPr>
            <w:r w:rsidRPr="005269CB">
              <w:rPr>
                <w:rFonts w:ascii="Calibri" w:eastAsia="Calibri" w:hAnsi="Calibri" w:cs="Calibri"/>
                <w:sz w:val="22"/>
                <w:szCs w:val="22"/>
              </w:rPr>
              <w:t>Prepare</w:t>
            </w:r>
            <w:r w:rsidR="00A3684C">
              <w:rPr>
                <w:rFonts w:ascii="Calibri" w:eastAsia="Calibri" w:hAnsi="Calibri" w:cs="Calibri"/>
                <w:sz w:val="22"/>
                <w:szCs w:val="22"/>
              </w:rPr>
              <w:t xml:space="preserve"> detailed</w:t>
            </w:r>
            <w:r w:rsidRPr="005269CB">
              <w:rPr>
                <w:rFonts w:ascii="Calibri" w:eastAsia="Calibri" w:hAnsi="Calibri" w:cs="Calibri"/>
                <w:sz w:val="22"/>
                <w:szCs w:val="22"/>
              </w:rPr>
              <w:t xml:space="preserve"> recommendations </w:t>
            </w:r>
            <w:r w:rsidR="00F75ECC">
              <w:rPr>
                <w:rFonts w:ascii="Calibri" w:eastAsia="Calibri" w:hAnsi="Calibri" w:cs="Calibri"/>
                <w:sz w:val="22"/>
                <w:szCs w:val="22"/>
              </w:rPr>
              <w:t>for</w:t>
            </w:r>
            <w:r w:rsidR="00F75ECC" w:rsidRPr="005269CB">
              <w:rPr>
                <w:rFonts w:ascii="Calibri" w:eastAsia="Calibri" w:hAnsi="Calibri" w:cs="Calibri"/>
                <w:sz w:val="22"/>
                <w:szCs w:val="22"/>
              </w:rPr>
              <w:t xml:space="preserve"> </w:t>
            </w:r>
            <w:r w:rsidRPr="005269CB">
              <w:rPr>
                <w:rFonts w:ascii="Calibri" w:eastAsia="Calibri" w:hAnsi="Calibri" w:cs="Calibri"/>
                <w:sz w:val="22"/>
                <w:szCs w:val="22"/>
              </w:rPr>
              <w:t>setting up Accountability to Beneficiaries and GBV Case Management systems in Ukraine, including recommendations on how to establish and strengthen a minimum</w:t>
            </w:r>
            <w:r w:rsidR="002A187B">
              <w:rPr>
                <w:rFonts w:ascii="Calibri" w:eastAsia="Calibri" w:hAnsi="Calibri" w:cs="Calibri"/>
                <w:sz w:val="22"/>
                <w:szCs w:val="22"/>
              </w:rPr>
              <w:t xml:space="preserve">, </w:t>
            </w:r>
            <w:r w:rsidR="00A3684C">
              <w:rPr>
                <w:rFonts w:ascii="Calibri" w:eastAsia="Calibri" w:hAnsi="Calibri" w:cs="Calibri"/>
                <w:sz w:val="22"/>
                <w:szCs w:val="22"/>
              </w:rPr>
              <w:t xml:space="preserve">optimal </w:t>
            </w:r>
            <w:r w:rsidRPr="005269CB">
              <w:rPr>
                <w:rFonts w:ascii="Calibri" w:eastAsia="Calibri" w:hAnsi="Calibri" w:cs="Calibri"/>
                <w:sz w:val="22"/>
                <w:szCs w:val="22"/>
              </w:rPr>
              <w:t>and advanced system.</w:t>
            </w:r>
          </w:p>
          <w:p w:rsidR="00470543" w:rsidRDefault="00470543" w:rsidP="00470543">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p>
          <w:p w:rsidR="00470543" w:rsidRDefault="00470543" w:rsidP="00470543">
            <w:pPr>
              <w:pBdr>
                <w:top w:val="nil"/>
                <w:left w:val="nil"/>
                <w:bottom w:val="nil"/>
                <w:right w:val="nil"/>
                <w:between w:val="nil"/>
              </w:pBdr>
              <w:spacing w:line="240" w:lineRule="auto"/>
              <w:ind w:leftChars="0" w:left="0" w:firstLineChars="0" w:firstLine="0"/>
              <w:jc w:val="both"/>
              <w:rPr>
                <w:rFonts w:ascii="Calibri" w:eastAsia="Calibri" w:hAnsi="Calibri" w:cs="Calibri"/>
                <w:sz w:val="22"/>
                <w:szCs w:val="22"/>
              </w:rPr>
            </w:pPr>
            <w:r w:rsidRPr="00470543">
              <w:rPr>
                <w:rFonts w:ascii="Calibri" w:eastAsia="Calibri" w:hAnsi="Calibri" w:cs="Calibri"/>
                <w:sz w:val="22"/>
                <w:szCs w:val="22"/>
              </w:rPr>
              <w:t xml:space="preserve">For the purposes of </w:t>
            </w:r>
            <w:r>
              <w:rPr>
                <w:rFonts w:ascii="Calibri" w:eastAsia="Calibri" w:hAnsi="Calibri" w:cs="Calibri"/>
                <w:sz w:val="22"/>
                <w:szCs w:val="22"/>
              </w:rPr>
              <w:t xml:space="preserve">developing recommendations </w:t>
            </w:r>
            <w:r w:rsidR="00F75ECC">
              <w:rPr>
                <w:rFonts w:ascii="Calibri" w:eastAsia="Calibri" w:hAnsi="Calibri" w:cs="Calibri"/>
                <w:sz w:val="22"/>
                <w:szCs w:val="22"/>
              </w:rPr>
              <w:t>for</w:t>
            </w:r>
            <w:r w:rsidRPr="00470543">
              <w:rPr>
                <w:rFonts w:ascii="Calibri" w:eastAsia="Calibri" w:hAnsi="Calibri" w:cs="Calibri"/>
                <w:sz w:val="22"/>
                <w:szCs w:val="22"/>
              </w:rPr>
              <w:t xml:space="preserve"> setting up Accountability to Beneficiaries and GBV Case Management systems in Ukraine</w:t>
            </w:r>
            <w:r w:rsidR="00F75ECC">
              <w:rPr>
                <w:rFonts w:ascii="Calibri" w:eastAsia="Calibri" w:hAnsi="Calibri" w:cs="Calibri"/>
                <w:sz w:val="22"/>
                <w:szCs w:val="22"/>
              </w:rPr>
              <w:t>, the</w:t>
            </w:r>
            <w:r>
              <w:rPr>
                <w:rFonts w:ascii="Calibri" w:eastAsia="Calibri" w:hAnsi="Calibri" w:cs="Calibri"/>
                <w:sz w:val="22"/>
                <w:szCs w:val="22"/>
              </w:rPr>
              <w:t xml:space="preserve"> </w:t>
            </w:r>
            <w:r w:rsidRPr="00470543">
              <w:rPr>
                <w:rFonts w:ascii="Calibri" w:eastAsia="Calibri" w:hAnsi="Calibri" w:cs="Calibri"/>
                <w:sz w:val="22"/>
                <w:szCs w:val="22"/>
              </w:rPr>
              <w:t>Consultant is recommended and encouraged to consider the following guiding aspects:</w:t>
            </w:r>
          </w:p>
          <w:p w:rsidR="00470543" w:rsidRPr="00470543" w:rsidRDefault="00470543" w:rsidP="00470543">
            <w:pPr>
              <w:pBdr>
                <w:top w:val="nil"/>
                <w:left w:val="nil"/>
                <w:bottom w:val="nil"/>
                <w:right w:val="nil"/>
                <w:between w:val="nil"/>
              </w:pBdr>
              <w:spacing w:line="240" w:lineRule="auto"/>
              <w:ind w:leftChars="0" w:left="0" w:firstLineChars="0" w:hanging="2"/>
              <w:jc w:val="both"/>
              <w:rPr>
                <w:rFonts w:ascii="Calibri" w:eastAsia="Calibri" w:hAnsi="Calibri" w:cs="Calibri"/>
                <w:sz w:val="22"/>
                <w:szCs w:val="22"/>
              </w:rPr>
            </w:pPr>
          </w:p>
          <w:p w:rsidR="00470543" w:rsidRPr="00470543" w:rsidRDefault="00470543" w:rsidP="00470543">
            <w:pPr>
              <w:pStyle w:val="af1"/>
              <w:numPr>
                <w:ilvl w:val="0"/>
                <w:numId w:val="26"/>
              </w:numPr>
              <w:ind w:leftChars="0" w:firstLineChars="0"/>
              <w:jc w:val="both"/>
              <w:rPr>
                <w:rFonts w:ascii="Calibri" w:eastAsia="Calibri" w:hAnsi="Calibri" w:cs="Calibri"/>
                <w:sz w:val="22"/>
                <w:szCs w:val="22"/>
              </w:rPr>
            </w:pPr>
            <w:r>
              <w:rPr>
                <w:rFonts w:ascii="Calibri" w:eastAsia="Calibri" w:hAnsi="Calibri" w:cs="Calibri"/>
                <w:sz w:val="22"/>
                <w:szCs w:val="22"/>
              </w:rPr>
              <w:t>Recommendations</w:t>
            </w:r>
            <w:r w:rsidRPr="00470543">
              <w:rPr>
                <w:rFonts w:ascii="Calibri" w:eastAsia="Calibri" w:hAnsi="Calibri" w:cs="Calibri"/>
                <w:sz w:val="22"/>
                <w:szCs w:val="22"/>
              </w:rPr>
              <w:t xml:space="preserve"> shall align with human rights and GBV survivors</w:t>
            </w:r>
            <w:r w:rsidR="00F75ECC">
              <w:rPr>
                <w:rFonts w:ascii="Calibri" w:eastAsia="Calibri" w:hAnsi="Calibri" w:cs="Calibri"/>
                <w:sz w:val="22"/>
                <w:szCs w:val="22"/>
              </w:rPr>
              <w:t>-</w:t>
            </w:r>
            <w:r w:rsidRPr="00470543">
              <w:rPr>
                <w:rFonts w:ascii="Calibri" w:eastAsia="Calibri" w:hAnsi="Calibri" w:cs="Calibri"/>
                <w:sz w:val="22"/>
                <w:szCs w:val="22"/>
              </w:rPr>
              <w:t>centred approach</w:t>
            </w:r>
            <w:r>
              <w:rPr>
                <w:rFonts w:ascii="Calibri" w:eastAsia="Calibri" w:hAnsi="Calibri" w:cs="Calibri"/>
                <w:sz w:val="22"/>
                <w:szCs w:val="22"/>
              </w:rPr>
              <w:t>es,</w:t>
            </w:r>
            <w:r w:rsidRPr="00470543">
              <w:rPr>
                <w:rFonts w:ascii="Calibri" w:eastAsia="Calibri" w:hAnsi="Calibri" w:cs="Calibri"/>
                <w:sz w:val="22"/>
                <w:szCs w:val="22"/>
              </w:rPr>
              <w:t xml:space="preserve"> and adhere to the principles of inclusivity, diversity and non-discrimination.</w:t>
            </w:r>
          </w:p>
          <w:p w:rsidR="003F495A" w:rsidRPr="00470543" w:rsidRDefault="00470543" w:rsidP="00470543">
            <w:pPr>
              <w:pStyle w:val="af1"/>
              <w:numPr>
                <w:ilvl w:val="0"/>
                <w:numId w:val="26"/>
              </w:numPr>
              <w:ind w:leftChars="0" w:firstLineChars="0"/>
              <w:jc w:val="both"/>
              <w:rPr>
                <w:rFonts w:ascii="Calibri" w:eastAsia="Calibri" w:hAnsi="Calibri" w:cs="Calibri"/>
                <w:sz w:val="22"/>
                <w:szCs w:val="22"/>
              </w:rPr>
            </w:pPr>
            <w:r>
              <w:rPr>
                <w:rFonts w:ascii="Calibri" w:eastAsia="Calibri" w:hAnsi="Calibri" w:cs="Calibri"/>
                <w:sz w:val="22"/>
                <w:szCs w:val="22"/>
              </w:rPr>
              <w:t>Recommendations shall include</w:t>
            </w:r>
            <w:r w:rsidRPr="00470543">
              <w:rPr>
                <w:rFonts w:ascii="Calibri" w:eastAsia="Calibri" w:hAnsi="Calibri" w:cs="Calibri"/>
                <w:sz w:val="22"/>
                <w:szCs w:val="22"/>
              </w:rPr>
              <w:t xml:space="preserve"> sustainable solutions for a comprehensive and coherent GBV response that can be considered for the adoption and incorporation into the national policy and legislative framework.</w:t>
            </w:r>
          </w:p>
          <w:p w:rsidR="00470543" w:rsidRDefault="00470543" w:rsidP="00470543">
            <w:pPr>
              <w:ind w:leftChars="0" w:left="0" w:firstLineChars="0" w:firstLine="0"/>
              <w:jc w:val="both"/>
              <w:rPr>
                <w:rFonts w:ascii="Calibri" w:eastAsia="Calibri" w:hAnsi="Calibri" w:cs="Calibri"/>
                <w:sz w:val="22"/>
                <w:szCs w:val="22"/>
              </w:rPr>
            </w:pPr>
          </w:p>
          <w:p w:rsidR="003F495A" w:rsidRDefault="00CD2D53" w:rsidP="003E0238">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services should be provided in </w:t>
            </w:r>
            <w:r w:rsidR="005269CB">
              <w:rPr>
                <w:rFonts w:ascii="Calibri" w:eastAsia="Calibri" w:hAnsi="Calibri" w:cs="Calibri"/>
                <w:sz w:val="22"/>
                <w:szCs w:val="22"/>
              </w:rPr>
              <w:t>November</w:t>
            </w:r>
            <w:r>
              <w:rPr>
                <w:rFonts w:ascii="Calibri" w:eastAsia="Calibri" w:hAnsi="Calibri" w:cs="Calibri"/>
                <w:color w:val="000000"/>
                <w:sz w:val="22"/>
                <w:szCs w:val="22"/>
              </w:rPr>
              <w:t xml:space="preserve"> </w:t>
            </w:r>
            <w:r w:rsidR="005269CB">
              <w:rPr>
                <w:rFonts w:ascii="Calibri" w:eastAsia="Calibri" w:hAnsi="Calibri" w:cs="Calibri"/>
                <w:color w:val="000000"/>
                <w:sz w:val="22"/>
                <w:szCs w:val="22"/>
              </w:rPr>
              <w:t xml:space="preserve">2021 </w:t>
            </w:r>
            <w:r>
              <w:rPr>
                <w:rFonts w:ascii="Calibri" w:eastAsia="Calibri" w:hAnsi="Calibri" w:cs="Calibri"/>
                <w:color w:val="000000"/>
                <w:sz w:val="22"/>
                <w:szCs w:val="22"/>
              </w:rPr>
              <w:t xml:space="preserve">– </w:t>
            </w:r>
            <w:r w:rsidR="005269CB">
              <w:rPr>
                <w:rFonts w:ascii="Calibri" w:eastAsia="Calibri" w:hAnsi="Calibri" w:cs="Calibri"/>
                <w:sz w:val="22"/>
                <w:szCs w:val="22"/>
              </w:rPr>
              <w:t>February</w:t>
            </w:r>
            <w:r>
              <w:rPr>
                <w:rFonts w:ascii="Calibri" w:eastAsia="Calibri" w:hAnsi="Calibri" w:cs="Calibri"/>
                <w:color w:val="000000"/>
                <w:sz w:val="22"/>
                <w:szCs w:val="22"/>
              </w:rPr>
              <w:t xml:space="preserve"> 202</w:t>
            </w:r>
            <w:r w:rsidR="005269CB">
              <w:rPr>
                <w:rFonts w:ascii="Calibri" w:eastAsia="Calibri" w:hAnsi="Calibri" w:cs="Calibri"/>
                <w:sz w:val="22"/>
                <w:szCs w:val="22"/>
              </w:rPr>
              <w:t>2</w:t>
            </w:r>
            <w:r>
              <w:rPr>
                <w:rFonts w:ascii="Calibri" w:eastAsia="Calibri" w:hAnsi="Calibri" w:cs="Calibri"/>
                <w:color w:val="000000"/>
                <w:sz w:val="22"/>
                <w:szCs w:val="22"/>
              </w:rPr>
              <w:t xml:space="preserve"> and in close coordination with UNFPA.</w:t>
            </w:r>
          </w:p>
          <w:p w:rsidR="003F495A" w:rsidRDefault="003F495A" w:rsidP="003E0238">
            <w:pPr>
              <w:ind w:left="0" w:hanging="2"/>
              <w:jc w:val="both"/>
              <w:rPr>
                <w:rFonts w:ascii="Calibri" w:eastAsia="Calibri" w:hAnsi="Calibri" w:cs="Calibri"/>
                <w:sz w:val="22"/>
                <w:szCs w:val="22"/>
              </w:rPr>
            </w:pPr>
          </w:p>
          <w:p w:rsidR="003F495A" w:rsidRDefault="00CD2D53" w:rsidP="003E0238">
            <w:pPr>
              <w:ind w:left="0" w:hanging="2"/>
              <w:jc w:val="both"/>
              <w:rPr>
                <w:rFonts w:ascii="Calibri" w:eastAsia="Calibri" w:hAnsi="Calibri" w:cs="Calibri"/>
                <w:sz w:val="22"/>
                <w:szCs w:val="22"/>
              </w:rPr>
            </w:pPr>
            <w:r>
              <w:rPr>
                <w:rFonts w:ascii="Calibri" w:eastAsia="Calibri" w:hAnsi="Calibri" w:cs="Calibri"/>
                <w:sz w:val="22"/>
                <w:szCs w:val="22"/>
              </w:rPr>
              <w:t>Specifically, the consultancy should result in deliverables as follows:</w:t>
            </w:r>
          </w:p>
          <w:p w:rsidR="003F495A" w:rsidRDefault="003F495A" w:rsidP="003E0238">
            <w:pPr>
              <w:ind w:left="0" w:hanging="2"/>
              <w:jc w:val="both"/>
              <w:rPr>
                <w:rFonts w:ascii="Calibri" w:eastAsia="Calibri" w:hAnsi="Calibri" w:cs="Calibri"/>
                <w:sz w:val="22"/>
                <w:szCs w:val="22"/>
              </w:rPr>
            </w:pPr>
          </w:p>
          <w:p w:rsidR="003F495A" w:rsidRDefault="00CD2D53" w:rsidP="005269CB">
            <w:pPr>
              <w:ind w:left="0" w:hanging="2"/>
              <w:jc w:val="both"/>
              <w:rPr>
                <w:rFonts w:ascii="Calibri" w:eastAsia="Calibri" w:hAnsi="Calibri" w:cs="Calibri"/>
                <w:sz w:val="22"/>
                <w:szCs w:val="22"/>
              </w:rPr>
            </w:pPr>
            <w:r w:rsidRPr="003E0238">
              <w:rPr>
                <w:rFonts w:ascii="Calibri" w:eastAsia="Calibri" w:hAnsi="Calibri" w:cs="Calibri"/>
                <w:b/>
                <w:sz w:val="22"/>
                <w:szCs w:val="22"/>
              </w:rPr>
              <w:t>Deliverable 1.</w:t>
            </w:r>
            <w:r>
              <w:rPr>
                <w:rFonts w:ascii="Calibri" w:eastAsia="Calibri" w:hAnsi="Calibri" w:cs="Calibri"/>
                <w:sz w:val="22"/>
                <w:szCs w:val="22"/>
              </w:rPr>
              <w:t xml:space="preserve"> Draft </w:t>
            </w:r>
            <w:r w:rsidR="00127AB1">
              <w:rPr>
                <w:rFonts w:ascii="Calibri" w:eastAsia="Calibri" w:hAnsi="Calibri" w:cs="Calibri"/>
                <w:sz w:val="22"/>
                <w:szCs w:val="22"/>
              </w:rPr>
              <w:t>i</w:t>
            </w:r>
            <w:r>
              <w:rPr>
                <w:rFonts w:ascii="Calibri" w:eastAsia="Calibri" w:hAnsi="Calibri" w:cs="Calibri"/>
                <w:sz w:val="22"/>
                <w:szCs w:val="22"/>
              </w:rPr>
              <w:t>nc</w:t>
            </w:r>
            <w:r w:rsidR="002375C9">
              <w:rPr>
                <w:rFonts w:ascii="Calibri" w:eastAsia="Calibri" w:hAnsi="Calibri" w:cs="Calibri"/>
                <w:sz w:val="22"/>
                <w:szCs w:val="22"/>
              </w:rPr>
              <w:t xml:space="preserve">eption </w:t>
            </w:r>
            <w:r w:rsidR="00127AB1">
              <w:rPr>
                <w:rFonts w:ascii="Calibri" w:eastAsia="Calibri" w:hAnsi="Calibri" w:cs="Calibri"/>
                <w:sz w:val="22"/>
                <w:szCs w:val="22"/>
              </w:rPr>
              <w:t>r</w:t>
            </w:r>
            <w:r w:rsidR="002375C9">
              <w:rPr>
                <w:rFonts w:ascii="Calibri" w:eastAsia="Calibri" w:hAnsi="Calibri" w:cs="Calibri"/>
                <w:sz w:val="22"/>
                <w:szCs w:val="22"/>
              </w:rPr>
              <w:t>eport (</w:t>
            </w:r>
            <w:r w:rsidR="00127AB1">
              <w:rPr>
                <w:rFonts w:ascii="Calibri" w:eastAsia="Calibri" w:hAnsi="Calibri" w:cs="Calibri"/>
                <w:sz w:val="22"/>
                <w:szCs w:val="22"/>
              </w:rPr>
              <w:t>r</w:t>
            </w:r>
            <w:r w:rsidR="002375C9">
              <w:rPr>
                <w:rFonts w:ascii="Calibri" w:eastAsia="Calibri" w:hAnsi="Calibri" w:cs="Calibri"/>
                <w:sz w:val="22"/>
                <w:szCs w:val="22"/>
              </w:rPr>
              <w:t>eport contains</w:t>
            </w:r>
            <w:r>
              <w:rPr>
                <w:rFonts w:ascii="Calibri" w:eastAsia="Calibri" w:hAnsi="Calibri" w:cs="Calibri"/>
                <w:sz w:val="22"/>
                <w:szCs w:val="22"/>
              </w:rPr>
              <w:t xml:space="preserve"> research design, sources, suggested content of the</w:t>
            </w:r>
            <w:r w:rsidR="00F34AF2">
              <w:rPr>
                <w:rFonts w:ascii="Calibri" w:eastAsia="Calibri" w:hAnsi="Calibri" w:cs="Calibri"/>
                <w:sz w:val="22"/>
                <w:szCs w:val="22"/>
              </w:rPr>
              <w:t xml:space="preserve"> </w:t>
            </w:r>
            <w:r w:rsidR="00127AB1">
              <w:rPr>
                <w:rFonts w:ascii="Calibri" w:eastAsia="Calibri" w:hAnsi="Calibri" w:cs="Calibri"/>
                <w:sz w:val="22"/>
                <w:szCs w:val="22"/>
              </w:rPr>
              <w:t>analysis</w:t>
            </w:r>
            <w:r w:rsidR="005269CB">
              <w:rPr>
                <w:rFonts w:ascii="Calibri" w:eastAsia="Calibri" w:hAnsi="Calibri" w:cs="Calibri"/>
                <w:sz w:val="22"/>
                <w:szCs w:val="22"/>
              </w:rPr>
              <w:t>)</w:t>
            </w:r>
            <w:r>
              <w:rPr>
                <w:rFonts w:ascii="Calibri" w:eastAsia="Calibri" w:hAnsi="Calibri" w:cs="Calibri"/>
                <w:sz w:val="22"/>
                <w:szCs w:val="22"/>
              </w:rPr>
              <w:t>;</w:t>
            </w:r>
          </w:p>
          <w:p w:rsidR="00560F35" w:rsidRDefault="00560F35" w:rsidP="003E0238">
            <w:pPr>
              <w:ind w:left="0" w:hanging="2"/>
              <w:jc w:val="both"/>
              <w:rPr>
                <w:rFonts w:ascii="Calibri" w:eastAsia="Calibri" w:hAnsi="Calibri" w:cs="Calibri"/>
                <w:sz w:val="22"/>
                <w:szCs w:val="22"/>
              </w:rPr>
            </w:pPr>
          </w:p>
          <w:p w:rsidR="005269CB" w:rsidRDefault="00CD2D53" w:rsidP="003E0238">
            <w:pPr>
              <w:ind w:left="0" w:hanging="2"/>
              <w:jc w:val="both"/>
              <w:rPr>
                <w:rFonts w:ascii="Calibri" w:eastAsia="Calibri" w:hAnsi="Calibri" w:cs="Calibri"/>
                <w:sz w:val="22"/>
                <w:szCs w:val="22"/>
              </w:rPr>
            </w:pPr>
            <w:r w:rsidRPr="003E0238">
              <w:rPr>
                <w:rFonts w:ascii="Calibri" w:eastAsia="Calibri" w:hAnsi="Calibri" w:cs="Calibri"/>
                <w:b/>
                <w:sz w:val="22"/>
                <w:szCs w:val="22"/>
              </w:rPr>
              <w:t>Deliverable 2.</w:t>
            </w:r>
            <w:r>
              <w:rPr>
                <w:rFonts w:ascii="Calibri" w:eastAsia="Calibri" w:hAnsi="Calibri" w:cs="Calibri"/>
                <w:sz w:val="22"/>
                <w:szCs w:val="22"/>
              </w:rPr>
              <w:t xml:space="preserve"> Draft </w:t>
            </w:r>
            <w:r w:rsidR="00F75ECC">
              <w:rPr>
                <w:rFonts w:ascii="Calibri" w:eastAsia="Calibri" w:hAnsi="Calibri" w:cs="Calibri"/>
                <w:sz w:val="22"/>
                <w:szCs w:val="22"/>
              </w:rPr>
              <w:t xml:space="preserve">analysis </w:t>
            </w:r>
            <w:r w:rsidR="00C211E8">
              <w:rPr>
                <w:rFonts w:ascii="Calibri" w:eastAsia="Calibri" w:hAnsi="Calibri" w:cs="Calibri"/>
                <w:sz w:val="22"/>
                <w:szCs w:val="22"/>
              </w:rPr>
              <w:t xml:space="preserve">with </w:t>
            </w:r>
            <w:r w:rsidR="005269CB" w:rsidRPr="005269CB">
              <w:rPr>
                <w:rFonts w:ascii="Calibri" w:eastAsia="Calibri" w:hAnsi="Calibri" w:cs="Calibri"/>
                <w:sz w:val="22"/>
                <w:szCs w:val="22"/>
              </w:rPr>
              <w:t>recommendations for setting up Accountability to Beneficiaries and GBV Case Management systems in Ukraine</w:t>
            </w:r>
            <w:r w:rsidR="005269CB">
              <w:rPr>
                <w:rFonts w:ascii="Calibri" w:eastAsia="Calibri" w:hAnsi="Calibri" w:cs="Calibri"/>
                <w:sz w:val="22"/>
                <w:szCs w:val="22"/>
              </w:rPr>
              <w:t>;</w:t>
            </w:r>
          </w:p>
          <w:p w:rsidR="00560F35" w:rsidRDefault="00560F35" w:rsidP="005269CB">
            <w:pPr>
              <w:ind w:leftChars="0" w:left="0" w:firstLineChars="0" w:firstLine="0"/>
              <w:jc w:val="both"/>
              <w:rPr>
                <w:rFonts w:ascii="Calibri" w:eastAsia="Calibri" w:hAnsi="Calibri" w:cs="Calibri"/>
                <w:sz w:val="22"/>
                <w:szCs w:val="22"/>
              </w:rPr>
            </w:pPr>
          </w:p>
          <w:p w:rsidR="00127AB1" w:rsidRDefault="005269CB" w:rsidP="005269CB">
            <w:pPr>
              <w:ind w:leftChars="0" w:left="0" w:firstLineChars="0" w:firstLine="0"/>
              <w:jc w:val="both"/>
              <w:rPr>
                <w:rFonts w:ascii="Calibri" w:eastAsia="Calibri" w:hAnsi="Calibri" w:cs="Calibri"/>
                <w:sz w:val="22"/>
                <w:szCs w:val="22"/>
              </w:rPr>
            </w:pPr>
            <w:r>
              <w:rPr>
                <w:rFonts w:ascii="Calibri" w:eastAsia="Calibri" w:hAnsi="Calibri" w:cs="Calibri"/>
                <w:b/>
                <w:sz w:val="22"/>
                <w:szCs w:val="22"/>
              </w:rPr>
              <w:t>Deliverable 3</w:t>
            </w:r>
            <w:r w:rsidR="00CD2D53" w:rsidRPr="003E0238">
              <w:rPr>
                <w:rFonts w:ascii="Calibri" w:eastAsia="Calibri" w:hAnsi="Calibri" w:cs="Calibri"/>
                <w:b/>
                <w:sz w:val="22"/>
                <w:szCs w:val="22"/>
              </w:rPr>
              <w:t>.</w:t>
            </w:r>
            <w:r w:rsidR="00CD2D53">
              <w:rPr>
                <w:rFonts w:ascii="Calibri" w:eastAsia="Calibri" w:hAnsi="Calibri" w:cs="Calibri"/>
                <w:sz w:val="22"/>
                <w:szCs w:val="22"/>
              </w:rPr>
              <w:t xml:space="preserve"> Final </w:t>
            </w:r>
            <w:r w:rsidR="00F75ECC">
              <w:rPr>
                <w:rFonts w:ascii="Calibri" w:eastAsia="Calibri" w:hAnsi="Calibri" w:cs="Calibri"/>
                <w:sz w:val="22"/>
                <w:szCs w:val="22"/>
              </w:rPr>
              <w:t xml:space="preserve">analysis </w:t>
            </w:r>
            <w:r w:rsidR="00C211E8">
              <w:rPr>
                <w:rFonts w:ascii="Calibri" w:eastAsia="Calibri" w:hAnsi="Calibri" w:cs="Calibri"/>
                <w:sz w:val="22"/>
                <w:szCs w:val="22"/>
              </w:rPr>
              <w:t xml:space="preserve">with </w:t>
            </w:r>
            <w:r w:rsidRPr="005269CB">
              <w:rPr>
                <w:rFonts w:ascii="Calibri" w:eastAsia="Calibri" w:hAnsi="Calibri" w:cs="Calibri"/>
                <w:sz w:val="22"/>
                <w:szCs w:val="22"/>
              </w:rPr>
              <w:t>recommend</w:t>
            </w:r>
            <w:bookmarkStart w:id="0" w:name="_GoBack"/>
            <w:bookmarkEnd w:id="0"/>
            <w:r w:rsidRPr="005269CB">
              <w:rPr>
                <w:rFonts w:ascii="Calibri" w:eastAsia="Calibri" w:hAnsi="Calibri" w:cs="Calibri"/>
                <w:sz w:val="22"/>
                <w:szCs w:val="22"/>
              </w:rPr>
              <w:t>ations for setting up Accountability to Beneficiaries and GBV Case Management systems in Ukraine</w:t>
            </w:r>
            <w:r w:rsidR="00127AB1">
              <w:rPr>
                <w:rFonts w:ascii="Calibri" w:eastAsia="Calibri" w:hAnsi="Calibri" w:cs="Calibri"/>
                <w:sz w:val="22"/>
                <w:szCs w:val="22"/>
              </w:rPr>
              <w:t xml:space="preserve"> (duly addressing comments and suggestions of the UNFPA GBV Programme Team) – a well-written, formatted document (up to 60 pages) – and a summary of key findings and recommendations (up to 5 pages). </w:t>
            </w:r>
          </w:p>
          <w:p w:rsidR="003F495A" w:rsidRDefault="003F495A" w:rsidP="002375C9">
            <w:pPr>
              <w:ind w:leftChars="0" w:left="0" w:firstLineChars="0" w:firstLine="0"/>
              <w:rPr>
                <w:rFonts w:ascii="Calibri" w:eastAsia="Calibri" w:hAnsi="Calibri" w:cs="Calibri"/>
                <w:sz w:val="22"/>
                <w:szCs w:val="22"/>
              </w:rPr>
            </w:pP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lastRenderedPageBreak/>
              <w:t>Duration and working schedule: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5269CB">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Starting date: </w:t>
            </w:r>
            <w:r w:rsidR="008E6E6C">
              <w:rPr>
                <w:rFonts w:ascii="Calibri" w:eastAsia="Calibri" w:hAnsi="Calibri" w:cs="Calibri"/>
                <w:sz w:val="22"/>
                <w:szCs w:val="22"/>
              </w:rPr>
              <w:t>December 13</w:t>
            </w:r>
            <w:r w:rsidR="00CD2D53">
              <w:rPr>
                <w:rFonts w:ascii="Calibri" w:eastAsia="Calibri" w:hAnsi="Calibri" w:cs="Calibri"/>
                <w:sz w:val="22"/>
                <w:szCs w:val="22"/>
              </w:rPr>
              <w:t xml:space="preserve">, 2021 (tentatively) </w:t>
            </w:r>
          </w:p>
          <w:p w:rsidR="003F495A" w:rsidRDefault="005269CB">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Duration: till February 28, 2022</w:t>
            </w:r>
            <w:r w:rsidR="00CD2D53">
              <w:rPr>
                <w:rFonts w:ascii="Calibri" w:eastAsia="Calibri" w:hAnsi="Calibri" w:cs="Calibri"/>
                <w:sz w:val="22"/>
                <w:szCs w:val="22"/>
              </w:rPr>
              <w:t xml:space="preserve"> (tentatively)</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Place where services are to be delivered:</w:t>
            </w:r>
          </w:p>
        </w:tc>
        <w:tc>
          <w:tcPr>
            <w:tcW w:w="8079" w:type="dxa"/>
            <w:tcBorders>
              <w:top w:val="single" w:sz="6" w:space="0" w:color="000000"/>
              <w:left w:val="single" w:sz="6" w:space="0" w:color="000000"/>
              <w:bottom w:val="single" w:sz="6" w:space="0" w:color="000000"/>
              <w:right w:val="single" w:sz="6" w:space="0" w:color="000000"/>
            </w:tcBorders>
          </w:tcPr>
          <w:p w:rsidR="003F495A" w:rsidRDefault="00B74E6B">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Remote work</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Delivery dates and how work will be delivered (</w:t>
            </w:r>
            <w:r>
              <w:rPr>
                <w:rFonts w:ascii="Calibri" w:eastAsia="Calibri" w:hAnsi="Calibri" w:cs="Calibri"/>
                <w:i/>
                <w:sz w:val="22"/>
                <w:szCs w:val="22"/>
              </w:rPr>
              <w:t>e.g.</w:t>
            </w:r>
            <w:r>
              <w:rPr>
                <w:rFonts w:ascii="Calibri" w:eastAsia="Calibri" w:hAnsi="Calibri" w:cs="Calibri"/>
                <w:sz w:val="22"/>
                <w:szCs w:val="22"/>
              </w:rPr>
              <w:t xml:space="preserve"> electronic, hard copy etc.):</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Brief progress reports </w:t>
            </w:r>
            <w:r w:rsidR="00B74E6B">
              <w:rPr>
                <w:rFonts w:ascii="Calibri" w:eastAsia="Calibri" w:hAnsi="Calibri" w:cs="Calibri"/>
                <w:sz w:val="22"/>
                <w:szCs w:val="22"/>
              </w:rPr>
              <w:t xml:space="preserve">(up to 1 page) </w:t>
            </w:r>
            <w:r>
              <w:rPr>
                <w:rFonts w:ascii="Calibri" w:eastAsia="Calibri" w:hAnsi="Calibri" w:cs="Calibri"/>
                <w:sz w:val="22"/>
                <w:szCs w:val="22"/>
              </w:rPr>
              <w:t xml:space="preserve">are to be delivered electronically every two weeks via email: </w:t>
            </w:r>
            <w:hyperlink r:id="rId7">
              <w:r>
                <w:rPr>
                  <w:rFonts w:ascii="Calibri" w:eastAsia="Calibri" w:hAnsi="Calibri" w:cs="Calibri"/>
                  <w:color w:val="1155CC"/>
                  <w:sz w:val="22"/>
                  <w:szCs w:val="22"/>
                  <w:u w:val="single"/>
                </w:rPr>
                <w:t>turkovska@unfpa.org</w:t>
              </w:r>
            </w:hyperlink>
            <w:r w:rsidR="002375C9">
              <w:rPr>
                <w:rFonts w:ascii="Calibri" w:eastAsia="Calibri" w:hAnsi="Calibri" w:cs="Calibri"/>
                <w:sz w:val="22"/>
                <w:szCs w:val="22"/>
              </w:rPr>
              <w:t xml:space="preserve"> </w:t>
            </w:r>
            <w:r>
              <w:rPr>
                <w:rFonts w:ascii="Calibri" w:eastAsia="Calibri" w:hAnsi="Calibri" w:cs="Calibri"/>
                <w:sz w:val="22"/>
                <w:szCs w:val="22"/>
              </w:rPr>
              <w:t xml:space="preserve">accompanied with draft documents developed/reviewed. </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Fina</w:t>
            </w:r>
            <w:r w:rsidR="002375C9">
              <w:rPr>
                <w:rFonts w:ascii="Calibri" w:eastAsia="Calibri" w:hAnsi="Calibri" w:cs="Calibri"/>
                <w:sz w:val="22"/>
                <w:szCs w:val="22"/>
              </w:rPr>
              <w:t xml:space="preserve">l brief report on the assignment completion (up to </w:t>
            </w:r>
            <w:r w:rsidR="00B74E6B">
              <w:rPr>
                <w:rFonts w:ascii="Calibri" w:eastAsia="Calibri" w:hAnsi="Calibri" w:cs="Calibri"/>
                <w:sz w:val="22"/>
                <w:szCs w:val="22"/>
              </w:rPr>
              <w:t>3</w:t>
            </w:r>
            <w:r w:rsidR="00C211E8">
              <w:rPr>
                <w:rFonts w:ascii="Calibri" w:eastAsia="Calibri" w:hAnsi="Calibri" w:cs="Calibri"/>
                <w:sz w:val="22"/>
                <w:szCs w:val="22"/>
              </w:rPr>
              <w:t xml:space="preserve"> standard pages A4 in Ukrainian</w:t>
            </w:r>
            <w:r>
              <w:rPr>
                <w:rFonts w:ascii="Calibri" w:eastAsia="Calibri" w:hAnsi="Calibri" w:cs="Calibri"/>
                <w:sz w:val="22"/>
                <w:szCs w:val="22"/>
              </w:rPr>
              <w:t xml:space="preserve">) to be delivered electronically via email </w:t>
            </w:r>
            <w:hyperlink r:id="rId8">
              <w:r>
                <w:rPr>
                  <w:rFonts w:ascii="Calibri" w:eastAsia="Calibri" w:hAnsi="Calibri" w:cs="Calibri"/>
                  <w:color w:val="1155CC"/>
                  <w:sz w:val="22"/>
                  <w:szCs w:val="22"/>
                  <w:u w:val="single"/>
                </w:rPr>
                <w:t>turkovska@unfpa.org</w:t>
              </w:r>
            </w:hyperlink>
            <w:r>
              <w:rPr>
                <w:rFonts w:ascii="Calibri" w:eastAsia="Calibri" w:hAnsi="Calibri" w:cs="Calibri"/>
                <w:sz w:val="22"/>
                <w:szCs w:val="22"/>
              </w:rPr>
              <w:t xml:space="preserve"> by the end of the ass</w:t>
            </w:r>
            <w:r w:rsidR="00F34AF2">
              <w:rPr>
                <w:rFonts w:ascii="Calibri" w:eastAsia="Calibri" w:hAnsi="Calibri" w:cs="Calibri"/>
                <w:sz w:val="22"/>
                <w:szCs w:val="22"/>
              </w:rPr>
              <w:t>ignment before 28 February 2022</w:t>
            </w:r>
            <w:r>
              <w:rPr>
                <w:rFonts w:ascii="Calibri" w:eastAsia="Calibri" w:hAnsi="Calibri" w:cs="Calibri"/>
                <w:sz w:val="22"/>
                <w:szCs w:val="22"/>
              </w:rPr>
              <w:t xml:space="preserve"> accompanied with </w:t>
            </w:r>
            <w:r w:rsidR="00B74E6B">
              <w:rPr>
                <w:rFonts w:ascii="Calibri" w:eastAsia="Calibri" w:hAnsi="Calibri" w:cs="Calibri"/>
                <w:sz w:val="22"/>
                <w:szCs w:val="22"/>
              </w:rPr>
              <w:t xml:space="preserve">the </w:t>
            </w:r>
            <w:r w:rsidR="00C211E8">
              <w:rPr>
                <w:rFonts w:ascii="Calibri" w:eastAsia="Calibri" w:hAnsi="Calibri" w:cs="Calibri"/>
                <w:sz w:val="22"/>
                <w:szCs w:val="22"/>
              </w:rPr>
              <w:t xml:space="preserve">final </w:t>
            </w:r>
            <w:r w:rsidR="00F75ECC">
              <w:rPr>
                <w:rFonts w:ascii="Calibri" w:eastAsia="Calibri" w:hAnsi="Calibri" w:cs="Calibri"/>
                <w:sz w:val="22"/>
                <w:szCs w:val="22"/>
              </w:rPr>
              <w:t xml:space="preserve">analysis </w:t>
            </w:r>
            <w:r w:rsidR="00C211E8">
              <w:rPr>
                <w:rFonts w:ascii="Calibri" w:eastAsia="Calibri" w:hAnsi="Calibri" w:cs="Calibri"/>
                <w:sz w:val="22"/>
                <w:szCs w:val="22"/>
              </w:rPr>
              <w:t>and its recommendations.</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The reporting periods should </w:t>
            </w:r>
            <w:r w:rsidR="00F34AF2">
              <w:rPr>
                <w:rFonts w:ascii="Calibri" w:eastAsia="Calibri" w:hAnsi="Calibri" w:cs="Calibri"/>
                <w:sz w:val="22"/>
                <w:szCs w:val="22"/>
              </w:rPr>
              <w:t>be agreed with the National C</w:t>
            </w:r>
            <w:r>
              <w:rPr>
                <w:rFonts w:ascii="Calibri" w:eastAsia="Calibri" w:hAnsi="Calibri" w:cs="Calibri"/>
                <w:sz w:val="22"/>
                <w:szCs w:val="22"/>
              </w:rPr>
              <w:t xml:space="preserve">onsultant additionally.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Monitoring and progress control, including reporting requirements, periodicity format and deadline: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rsidP="00F34AF2">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Daily work monitoring will be done by Ms. </w:t>
            </w:r>
            <w:r>
              <w:rPr>
                <w:rFonts w:ascii="Calibri" w:eastAsia="Calibri" w:hAnsi="Calibri" w:cs="Calibri"/>
                <w:sz w:val="22"/>
                <w:szCs w:val="22"/>
              </w:rPr>
              <w:t>Roksolana Turkovska</w:t>
            </w:r>
            <w:r>
              <w:rPr>
                <w:rFonts w:ascii="Calibri" w:eastAsia="Calibri" w:hAnsi="Calibri" w:cs="Calibri"/>
                <w:color w:val="000000"/>
                <w:sz w:val="22"/>
                <w:szCs w:val="22"/>
              </w:rPr>
              <w:t xml:space="preserve">, UNFPA GBV </w:t>
            </w:r>
            <w:r>
              <w:rPr>
                <w:rFonts w:ascii="Calibri" w:eastAsia="Calibri" w:hAnsi="Calibri" w:cs="Calibri"/>
                <w:sz w:val="22"/>
                <w:szCs w:val="22"/>
              </w:rPr>
              <w:t>Policy</w:t>
            </w:r>
            <w:r w:rsidR="00F34AF2">
              <w:rPr>
                <w:rFonts w:ascii="Calibri" w:eastAsia="Calibri" w:hAnsi="Calibri" w:cs="Calibri"/>
                <w:sz w:val="22"/>
                <w:szCs w:val="22"/>
              </w:rPr>
              <w:t xml:space="preserve"> Specialist</w:t>
            </w:r>
            <w:r>
              <w:rPr>
                <w:rFonts w:ascii="Calibri" w:eastAsia="Calibri" w:hAnsi="Calibri" w:cs="Calibri"/>
                <w:color w:val="000000"/>
                <w:sz w:val="22"/>
                <w:szCs w:val="22"/>
              </w:rPr>
              <w:t xml:space="preserve">.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Supervisory arrangements: </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rsidP="001E45AB">
            <w:pPr>
              <w:pBdr>
                <w:top w:val="nil"/>
                <w:left w:val="nil"/>
                <w:bottom w:val="nil"/>
                <w:right w:val="nil"/>
                <w:between w:val="nil"/>
              </w:pBdr>
              <w:spacing w:line="240" w:lineRule="auto"/>
              <w:ind w:left="0" w:right="-22" w:hanging="2"/>
              <w:rPr>
                <w:rFonts w:ascii="Calibri" w:eastAsia="Calibri" w:hAnsi="Calibri" w:cs="Calibri"/>
                <w:color w:val="000000"/>
                <w:sz w:val="22"/>
                <w:szCs w:val="22"/>
              </w:rPr>
            </w:pPr>
            <w:r>
              <w:rPr>
                <w:rFonts w:ascii="Calibri" w:eastAsia="Calibri" w:hAnsi="Calibri" w:cs="Calibri"/>
                <w:color w:val="000000"/>
                <w:sz w:val="22"/>
                <w:szCs w:val="22"/>
              </w:rPr>
              <w:t>This consultan</w:t>
            </w:r>
            <w:r w:rsidR="00B74E6B">
              <w:rPr>
                <w:rFonts w:ascii="Calibri" w:eastAsia="Calibri" w:hAnsi="Calibri" w:cs="Calibri"/>
                <w:color w:val="000000"/>
                <w:sz w:val="22"/>
                <w:szCs w:val="22"/>
              </w:rPr>
              <w:t>t</w:t>
            </w:r>
            <w:r>
              <w:rPr>
                <w:rFonts w:ascii="Calibri" w:eastAsia="Calibri" w:hAnsi="Calibri" w:cs="Calibri"/>
                <w:color w:val="000000"/>
                <w:sz w:val="22"/>
                <w:szCs w:val="22"/>
              </w:rPr>
              <w:t xml:space="preserve"> will be directly supervised by </w:t>
            </w:r>
            <w:r>
              <w:rPr>
                <w:rFonts w:ascii="Calibri" w:eastAsia="Calibri" w:hAnsi="Calibri" w:cs="Calibri"/>
                <w:sz w:val="22"/>
                <w:szCs w:val="22"/>
              </w:rPr>
              <w:t xml:space="preserve">UNFPA GBV Programme Manager Ms. Olesia Kompaniiets. </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Expected travel:</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Travel is not expected.</w:t>
            </w: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Required expertise, qualifications and competencies, including language requirements:</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Job requirements: </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Minimum Master’s degree in social sciences, good governance, political sciences, gender studies, law or related </w:t>
            </w:r>
            <w:r w:rsidR="00B74E6B">
              <w:rPr>
                <w:rFonts w:ascii="Calibri" w:eastAsia="Calibri" w:hAnsi="Calibri" w:cs="Calibri"/>
                <w:sz w:val="22"/>
                <w:szCs w:val="22"/>
              </w:rPr>
              <w:t>areas</w:t>
            </w:r>
            <w:r w:rsidRPr="00560F35">
              <w:rPr>
                <w:rFonts w:ascii="Calibri" w:eastAsia="Calibri" w:hAnsi="Calibri" w:cs="Calibri"/>
                <w:sz w:val="22"/>
                <w:szCs w:val="22"/>
              </w:rPr>
              <w:t>;</w:t>
            </w:r>
          </w:p>
          <w:p w:rsidR="00560F35" w:rsidRDefault="002A187B" w:rsidP="003E0238">
            <w:pPr>
              <w:pStyle w:val="af1"/>
              <w:numPr>
                <w:ilvl w:val="0"/>
                <w:numId w:val="17"/>
              </w:numPr>
              <w:ind w:leftChars="0" w:firstLineChars="0"/>
              <w:jc w:val="both"/>
              <w:rPr>
                <w:rFonts w:ascii="Calibri" w:eastAsia="Calibri" w:hAnsi="Calibri" w:cs="Calibri"/>
                <w:sz w:val="22"/>
                <w:szCs w:val="22"/>
              </w:rPr>
            </w:pPr>
            <w:r>
              <w:rPr>
                <w:rFonts w:ascii="Calibri" w:eastAsia="Calibri" w:hAnsi="Calibri" w:cs="Calibri"/>
                <w:sz w:val="22"/>
                <w:szCs w:val="22"/>
              </w:rPr>
              <w:t>At least 4</w:t>
            </w:r>
            <w:r w:rsidR="00CD2D53" w:rsidRPr="00560F35">
              <w:rPr>
                <w:rFonts w:ascii="Calibri" w:eastAsia="Calibri" w:hAnsi="Calibri" w:cs="Calibri"/>
                <w:sz w:val="22"/>
                <w:szCs w:val="22"/>
              </w:rPr>
              <w:t xml:space="preserve"> years of rigorous analytical experience in social science including in social protection system,</w:t>
            </w:r>
            <w:r>
              <w:rPr>
                <w:rFonts w:ascii="Calibri" w:eastAsia="Calibri" w:hAnsi="Calibri" w:cs="Calibri"/>
                <w:sz w:val="22"/>
                <w:szCs w:val="22"/>
              </w:rPr>
              <w:t xml:space="preserve"> human rights,</w:t>
            </w:r>
            <w:r w:rsidR="00CD2D53" w:rsidRPr="00560F35">
              <w:rPr>
                <w:rFonts w:ascii="Calibri" w:eastAsia="Calibri" w:hAnsi="Calibri" w:cs="Calibri"/>
                <w:sz w:val="22"/>
                <w:szCs w:val="22"/>
              </w:rPr>
              <w:t xml:space="preserve"> good governance or GBV response and prevention;</w:t>
            </w:r>
          </w:p>
          <w:p w:rsidR="00560F35" w:rsidRPr="00C211E8" w:rsidRDefault="00CD2D53" w:rsidP="00C211E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Knowledge of GBV response and prevention will be an asset;</w:t>
            </w:r>
          </w:p>
          <w:p w:rsid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Outstanding research skills, systematic qualitative approach to analysis of complex social phenomena and concepts; </w:t>
            </w:r>
          </w:p>
          <w:p w:rsidR="00560F35" w:rsidRPr="00C211E8" w:rsidRDefault="00CD2D53" w:rsidP="00C211E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Excellent analytical and writing skills;</w:t>
            </w:r>
          </w:p>
          <w:p w:rsidR="003F495A" w:rsidRPr="00560F35" w:rsidRDefault="00CD2D53" w:rsidP="003E0238">
            <w:pPr>
              <w:pStyle w:val="af1"/>
              <w:numPr>
                <w:ilvl w:val="0"/>
                <w:numId w:val="17"/>
              </w:numPr>
              <w:ind w:leftChars="0" w:firstLineChars="0"/>
              <w:jc w:val="both"/>
              <w:rPr>
                <w:rFonts w:ascii="Calibri" w:eastAsia="Calibri" w:hAnsi="Calibri" w:cs="Calibri"/>
                <w:sz w:val="22"/>
                <w:szCs w:val="22"/>
              </w:rPr>
            </w:pPr>
            <w:r w:rsidRPr="00560F35">
              <w:rPr>
                <w:rFonts w:ascii="Calibri" w:eastAsia="Calibri" w:hAnsi="Calibri" w:cs="Calibri"/>
                <w:sz w:val="22"/>
                <w:szCs w:val="22"/>
              </w:rPr>
              <w:t>Time management skills, strong ability to meet deadlines.</w:t>
            </w:r>
          </w:p>
          <w:p w:rsidR="003F495A" w:rsidRPr="005269CB" w:rsidRDefault="00CD2D53" w:rsidP="003E0238">
            <w:pPr>
              <w:tabs>
                <w:tab w:val="left" w:pos="-720"/>
              </w:tabs>
              <w:spacing w:before="40" w:after="54"/>
              <w:ind w:left="0" w:hanging="2"/>
              <w:jc w:val="both"/>
              <w:rPr>
                <w:rFonts w:ascii="Calibri" w:eastAsia="Calibri" w:hAnsi="Calibri" w:cs="Calibri"/>
                <w:sz w:val="22"/>
                <w:szCs w:val="22"/>
                <w:lang w:val="uk-UA"/>
              </w:rPr>
            </w:pPr>
            <w:r>
              <w:rPr>
                <w:rFonts w:ascii="Calibri" w:eastAsia="Calibri" w:hAnsi="Calibri" w:cs="Calibri"/>
                <w:sz w:val="22"/>
                <w:szCs w:val="22"/>
              </w:rPr>
              <w:t>Languages: Fluen</w:t>
            </w:r>
            <w:r w:rsidR="005269CB">
              <w:rPr>
                <w:rFonts w:ascii="Calibri" w:eastAsia="Calibri" w:hAnsi="Calibri" w:cs="Calibri"/>
                <w:sz w:val="22"/>
                <w:szCs w:val="22"/>
              </w:rPr>
              <w:t>cy (oral and written) in Ukrainian</w:t>
            </w:r>
            <w:r>
              <w:rPr>
                <w:rFonts w:ascii="Calibri" w:eastAsia="Calibri" w:hAnsi="Calibri" w:cs="Calibri"/>
                <w:sz w:val="22"/>
                <w:szCs w:val="22"/>
              </w:rPr>
              <w:t>.</w:t>
            </w:r>
            <w:r w:rsidR="00A3684C">
              <w:rPr>
                <w:rFonts w:ascii="Calibri" w:eastAsia="Calibri" w:hAnsi="Calibri" w:cs="Calibri"/>
                <w:sz w:val="22"/>
                <w:szCs w:val="22"/>
              </w:rPr>
              <w:t xml:space="preserve"> </w:t>
            </w:r>
            <w:r w:rsidR="005269CB">
              <w:rPr>
                <w:rFonts w:ascii="Calibri" w:eastAsia="Calibri" w:hAnsi="Calibri" w:cs="Calibri"/>
                <w:sz w:val="22"/>
                <w:szCs w:val="22"/>
              </w:rPr>
              <w:t>Knowledge of English will be an asset.</w:t>
            </w:r>
          </w:p>
          <w:p w:rsidR="003F495A" w:rsidRPr="002375C9" w:rsidRDefault="003F495A" w:rsidP="002375C9">
            <w:pPr>
              <w:tabs>
                <w:tab w:val="left" w:pos="-720"/>
              </w:tabs>
              <w:spacing w:before="40"/>
              <w:ind w:leftChars="0" w:left="0" w:firstLineChars="0" w:hanging="2"/>
              <w:rPr>
                <w:rFonts w:ascii="Calibri" w:eastAsia="Calibri" w:hAnsi="Calibri" w:cs="Calibri"/>
                <w:sz w:val="22"/>
                <w:szCs w:val="22"/>
              </w:rPr>
            </w:pPr>
          </w:p>
        </w:tc>
      </w:tr>
      <w:tr w:rsidR="003F495A">
        <w:tc>
          <w:tcPr>
            <w:tcW w:w="2607" w:type="dxa"/>
            <w:tcBorders>
              <w:top w:val="single" w:sz="6" w:space="0" w:color="000000"/>
              <w:left w:val="single" w:sz="6" w:space="0" w:color="000000"/>
              <w:bottom w:val="single" w:sz="6" w:space="0" w:color="000000"/>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Inputs / services to be provided by UNFPA or implementing partner (</w:t>
            </w:r>
            <w:proofErr w:type="spellStart"/>
            <w:r>
              <w:rPr>
                <w:rFonts w:ascii="Calibri" w:eastAsia="Calibri" w:hAnsi="Calibri" w:cs="Calibri"/>
                <w:sz w:val="22"/>
                <w:szCs w:val="22"/>
              </w:rPr>
              <w:t>e.g</w:t>
            </w:r>
            <w:proofErr w:type="spellEnd"/>
            <w:r>
              <w:rPr>
                <w:rFonts w:ascii="Calibri" w:eastAsia="Calibri" w:hAnsi="Calibri" w:cs="Calibri"/>
                <w:sz w:val="22"/>
                <w:szCs w:val="22"/>
              </w:rPr>
              <w:t xml:space="preserve"> support services, office space, equipment), if applicable:</w:t>
            </w:r>
          </w:p>
        </w:tc>
        <w:tc>
          <w:tcPr>
            <w:tcW w:w="8079" w:type="dxa"/>
            <w:tcBorders>
              <w:top w:val="single" w:sz="6" w:space="0" w:color="000000"/>
              <w:left w:val="single" w:sz="6" w:space="0" w:color="000000"/>
              <w:bottom w:val="single" w:sz="6" w:space="0" w:color="000000"/>
              <w:right w:val="single" w:sz="6" w:space="0" w:color="000000"/>
            </w:tcBorders>
          </w:tcPr>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Additional services could be provided upon UNFPA request and authorisation.</w:t>
            </w:r>
          </w:p>
          <w:p w:rsidR="003F495A" w:rsidRDefault="003F495A">
            <w:pPr>
              <w:tabs>
                <w:tab w:val="left" w:pos="-720"/>
              </w:tabs>
              <w:spacing w:before="40" w:after="54"/>
              <w:ind w:left="0" w:hanging="2"/>
              <w:jc w:val="both"/>
              <w:rPr>
                <w:rFonts w:ascii="Calibri" w:eastAsia="Calibri" w:hAnsi="Calibri" w:cs="Calibri"/>
                <w:sz w:val="22"/>
                <w:szCs w:val="22"/>
              </w:rPr>
            </w:pPr>
          </w:p>
          <w:p w:rsidR="003F495A" w:rsidRDefault="00CD2D53" w:rsidP="00E04015">
            <w:pPr>
              <w:ind w:left="0" w:hanging="2"/>
              <w:jc w:val="both"/>
              <w:rPr>
                <w:rFonts w:ascii="Calibri" w:eastAsia="Calibri" w:hAnsi="Calibri" w:cs="Calibri"/>
                <w:sz w:val="22"/>
                <w:szCs w:val="22"/>
              </w:rPr>
            </w:pPr>
            <w:r>
              <w:rPr>
                <w:rFonts w:ascii="Calibri" w:eastAsia="Calibri" w:hAnsi="Calibri" w:cs="Calibri"/>
                <w:sz w:val="22"/>
                <w:szCs w:val="22"/>
              </w:rPr>
              <w:t xml:space="preserve">UNFPA will provide the consultant with a set of documents related to the scope of work and results of the previous activities regarding the topic, including UNFPA </w:t>
            </w:r>
            <w:r w:rsidR="00C211E8">
              <w:rPr>
                <w:rFonts w:ascii="Calibri" w:eastAsia="Calibri" w:hAnsi="Calibri" w:cs="Calibri"/>
                <w:sz w:val="22"/>
                <w:szCs w:val="22"/>
              </w:rPr>
              <w:t xml:space="preserve">Ukraine CO </w:t>
            </w:r>
            <w:r w:rsidR="00C211E8" w:rsidRPr="00C211E8">
              <w:rPr>
                <w:rFonts w:ascii="Calibri" w:eastAsia="Calibri" w:hAnsi="Calibri" w:cs="Calibri"/>
                <w:sz w:val="22"/>
                <w:szCs w:val="22"/>
              </w:rPr>
              <w:t>conceptual framework for Accountability to Beneficiaries and Case Management in GBV response</w:t>
            </w:r>
            <w:r w:rsidR="00470543">
              <w:rPr>
                <w:rFonts w:ascii="Calibri" w:eastAsia="Calibri" w:hAnsi="Calibri" w:cs="Calibri"/>
                <w:sz w:val="22"/>
                <w:szCs w:val="22"/>
              </w:rPr>
              <w:t xml:space="preserve">, conceptual </w:t>
            </w:r>
            <w:r>
              <w:rPr>
                <w:rFonts w:ascii="Calibri" w:eastAsia="Calibri" w:hAnsi="Calibri" w:cs="Calibri"/>
                <w:sz w:val="22"/>
                <w:szCs w:val="22"/>
              </w:rPr>
              <w:t>documents on Account</w:t>
            </w:r>
            <w:r w:rsidR="00C211E8">
              <w:rPr>
                <w:rFonts w:ascii="Calibri" w:eastAsia="Calibri" w:hAnsi="Calibri" w:cs="Calibri"/>
                <w:sz w:val="22"/>
                <w:szCs w:val="22"/>
              </w:rPr>
              <w:t>ability to Affected Population in Ukraine.</w:t>
            </w:r>
          </w:p>
          <w:p w:rsidR="001D1EAF" w:rsidRDefault="001D1EAF" w:rsidP="00E04015">
            <w:pPr>
              <w:ind w:left="0" w:hanging="2"/>
              <w:jc w:val="both"/>
              <w:rPr>
                <w:rFonts w:ascii="Calibri" w:eastAsia="Calibri" w:hAnsi="Calibri" w:cs="Calibri"/>
                <w:sz w:val="22"/>
                <w:szCs w:val="22"/>
              </w:rPr>
            </w:pPr>
          </w:p>
          <w:p w:rsidR="001D1EAF" w:rsidRDefault="001D1EAF" w:rsidP="00E04015">
            <w:pPr>
              <w:ind w:left="0" w:hanging="2"/>
              <w:jc w:val="both"/>
              <w:rPr>
                <w:rFonts w:ascii="Calibri" w:eastAsia="Calibri" w:hAnsi="Calibri" w:cs="Calibri"/>
                <w:sz w:val="22"/>
                <w:szCs w:val="22"/>
              </w:rPr>
            </w:pPr>
            <w:r>
              <w:rPr>
                <w:rFonts w:ascii="Calibri" w:eastAsia="Calibri" w:hAnsi="Calibri" w:cs="Calibri"/>
                <w:sz w:val="22"/>
                <w:szCs w:val="22"/>
              </w:rPr>
              <w:t>C</w:t>
            </w:r>
            <w:r w:rsidRPr="001D1EAF">
              <w:rPr>
                <w:rFonts w:ascii="Calibri" w:eastAsia="Calibri" w:hAnsi="Calibri" w:cs="Calibri"/>
                <w:sz w:val="22"/>
                <w:szCs w:val="22"/>
              </w:rPr>
              <w:t>onceptual framework for Accountability to Beneficiaries and Case Management in GBV response</w:t>
            </w:r>
            <w:r>
              <w:rPr>
                <w:rFonts w:ascii="Calibri" w:eastAsia="Calibri" w:hAnsi="Calibri" w:cs="Calibri"/>
                <w:sz w:val="22"/>
                <w:szCs w:val="22"/>
              </w:rPr>
              <w:t xml:space="preserve"> is based on best global practices and describes </w:t>
            </w:r>
            <w:r w:rsidRPr="001D1EAF">
              <w:rPr>
                <w:rFonts w:ascii="Calibri" w:eastAsia="Calibri" w:hAnsi="Calibri" w:cs="Calibri"/>
                <w:sz w:val="22"/>
                <w:szCs w:val="22"/>
              </w:rPr>
              <w:t>configu</w:t>
            </w:r>
            <w:r>
              <w:rPr>
                <w:rFonts w:ascii="Calibri" w:eastAsia="Calibri" w:hAnsi="Calibri" w:cs="Calibri"/>
                <w:sz w:val="22"/>
                <w:szCs w:val="22"/>
              </w:rPr>
              <w:t xml:space="preserve">ration of Accountability to </w:t>
            </w:r>
            <w:r w:rsidRPr="001D1EAF">
              <w:rPr>
                <w:rFonts w:ascii="Calibri" w:eastAsia="Calibri" w:hAnsi="Calibri" w:cs="Calibri"/>
                <w:sz w:val="22"/>
                <w:szCs w:val="22"/>
              </w:rPr>
              <w:t>Beneficiaries, Accountability to Affected</w:t>
            </w:r>
            <w:r>
              <w:rPr>
                <w:rFonts w:ascii="Calibri" w:eastAsia="Calibri" w:hAnsi="Calibri" w:cs="Calibri"/>
                <w:sz w:val="22"/>
                <w:szCs w:val="22"/>
              </w:rPr>
              <w:t xml:space="preserve"> Population and Case Management </w:t>
            </w:r>
            <w:r w:rsidRPr="001D1EAF">
              <w:rPr>
                <w:rFonts w:ascii="Calibri" w:eastAsia="Calibri" w:hAnsi="Calibri" w:cs="Calibri"/>
                <w:sz w:val="22"/>
                <w:szCs w:val="22"/>
              </w:rPr>
              <w:t>mechanisms to ensure effective GBV response and prevention</w:t>
            </w:r>
            <w:r>
              <w:rPr>
                <w:rFonts w:ascii="Calibri" w:eastAsia="Calibri" w:hAnsi="Calibri" w:cs="Calibri"/>
                <w:sz w:val="22"/>
                <w:szCs w:val="22"/>
              </w:rPr>
              <w:t xml:space="preserve">. The framework also includes general </w:t>
            </w:r>
            <w:r w:rsidRPr="001D1EAF">
              <w:rPr>
                <w:rFonts w:ascii="Calibri" w:eastAsia="Calibri" w:hAnsi="Calibri" w:cs="Calibri"/>
                <w:sz w:val="22"/>
                <w:szCs w:val="22"/>
              </w:rPr>
              <w:t>recommendations for t</w:t>
            </w:r>
            <w:r>
              <w:rPr>
                <w:rFonts w:ascii="Calibri" w:eastAsia="Calibri" w:hAnsi="Calibri" w:cs="Calibri"/>
                <w:sz w:val="22"/>
                <w:szCs w:val="22"/>
              </w:rPr>
              <w:t>he establishment of the</w:t>
            </w:r>
            <w:r w:rsidRPr="001D1EAF">
              <w:rPr>
                <w:rFonts w:ascii="Calibri" w:eastAsia="Calibri" w:hAnsi="Calibri" w:cs="Calibri"/>
                <w:sz w:val="22"/>
                <w:szCs w:val="22"/>
              </w:rPr>
              <w:t xml:space="preserve"> system on Accountability to Beneficiaries and Case Management</w:t>
            </w:r>
            <w:r>
              <w:rPr>
                <w:rFonts w:ascii="Calibri" w:eastAsia="Calibri" w:hAnsi="Calibri" w:cs="Calibri"/>
                <w:sz w:val="22"/>
                <w:szCs w:val="22"/>
              </w:rPr>
              <w:t xml:space="preserve"> at the national level for all countries’ contexts and is</w:t>
            </w:r>
            <w:r w:rsidRPr="001D1EAF">
              <w:rPr>
                <w:rFonts w:ascii="Calibri" w:eastAsia="Calibri" w:hAnsi="Calibri" w:cs="Calibri"/>
                <w:sz w:val="22"/>
                <w:szCs w:val="22"/>
              </w:rPr>
              <w:t xml:space="preserve"> based on</w:t>
            </w:r>
            <w:r>
              <w:rPr>
                <w:rFonts w:ascii="Calibri" w:eastAsia="Calibri" w:hAnsi="Calibri" w:cs="Calibri"/>
                <w:sz w:val="22"/>
                <w:szCs w:val="22"/>
              </w:rPr>
              <w:t xml:space="preserve"> global best practices.</w:t>
            </w:r>
          </w:p>
        </w:tc>
      </w:tr>
      <w:tr w:rsidR="003F495A" w:rsidTr="003E0238">
        <w:tc>
          <w:tcPr>
            <w:tcW w:w="2607" w:type="dxa"/>
            <w:tcBorders>
              <w:top w:val="single" w:sz="6" w:space="0" w:color="000000"/>
              <w:left w:val="single" w:sz="6" w:space="0" w:color="000000"/>
              <w:bottom w:val="single" w:sz="6" w:space="0" w:color="000000"/>
            </w:tcBorders>
          </w:tcPr>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Other relevant information or special conditions, if any:</w:t>
            </w:r>
          </w:p>
        </w:tc>
        <w:tc>
          <w:tcPr>
            <w:tcW w:w="8079" w:type="dxa"/>
            <w:tcBorders>
              <w:top w:val="single" w:sz="6" w:space="0" w:color="000000"/>
              <w:left w:val="single" w:sz="6" w:space="0" w:color="000000"/>
              <w:bottom w:val="single" w:sz="6" w:space="0" w:color="000000"/>
              <w:right w:val="single" w:sz="4" w:space="0" w:color="auto"/>
            </w:tcBorders>
          </w:tcPr>
          <w:p w:rsidR="003F495A" w:rsidRDefault="00CD2D53">
            <w:pPr>
              <w:tabs>
                <w:tab w:val="left" w:pos="-720"/>
              </w:tabs>
              <w:spacing w:before="40" w:after="54"/>
              <w:ind w:left="0" w:hanging="2"/>
              <w:rPr>
                <w:rFonts w:ascii="Calibri" w:eastAsia="Calibri" w:hAnsi="Calibri" w:cs="Calibri"/>
                <w:sz w:val="22"/>
                <w:szCs w:val="22"/>
              </w:rPr>
            </w:pPr>
            <w:r>
              <w:rPr>
                <w:rFonts w:ascii="Calibri" w:eastAsia="Calibri" w:hAnsi="Calibri" w:cs="Calibri"/>
                <w:sz w:val="22"/>
                <w:szCs w:val="22"/>
              </w:rPr>
              <w:t xml:space="preserve">Consultancy fee will be paid upon deliverables as stipulated below: </w:t>
            </w:r>
          </w:p>
          <w:p w:rsidR="00560F35" w:rsidRDefault="00CD2D53" w:rsidP="00560F35">
            <w:pPr>
              <w:pStyle w:val="af1"/>
              <w:numPr>
                <w:ilvl w:val="0"/>
                <w:numId w:val="19"/>
              </w:numPr>
              <w:tabs>
                <w:tab w:val="left" w:pos="-720"/>
              </w:tabs>
              <w:spacing w:before="40" w:after="54"/>
              <w:ind w:leftChars="0" w:firstLineChars="0"/>
              <w:rPr>
                <w:rFonts w:ascii="Calibri" w:eastAsia="Calibri" w:hAnsi="Calibri" w:cs="Calibri"/>
                <w:sz w:val="22"/>
                <w:szCs w:val="22"/>
              </w:rPr>
            </w:pPr>
            <w:r w:rsidRPr="00560F35">
              <w:rPr>
                <w:rFonts w:ascii="Calibri" w:eastAsia="Calibri" w:hAnsi="Calibri" w:cs="Calibri"/>
                <w:sz w:val="22"/>
                <w:szCs w:val="22"/>
              </w:rPr>
              <w:t xml:space="preserve">the first instalment, 60% of the contract amount, after the contracting and upon submission of the Deliverable 1 and Deliverable 2; </w:t>
            </w:r>
          </w:p>
          <w:p w:rsidR="003F495A" w:rsidRPr="00560F35" w:rsidRDefault="00CD2D53" w:rsidP="00560F35">
            <w:pPr>
              <w:pStyle w:val="af1"/>
              <w:numPr>
                <w:ilvl w:val="0"/>
                <w:numId w:val="19"/>
              </w:numPr>
              <w:tabs>
                <w:tab w:val="left" w:pos="-720"/>
              </w:tabs>
              <w:spacing w:before="40" w:after="54"/>
              <w:ind w:leftChars="0" w:firstLineChars="0"/>
              <w:rPr>
                <w:rFonts w:ascii="Calibri" w:eastAsia="Calibri" w:hAnsi="Calibri" w:cs="Calibri"/>
                <w:sz w:val="22"/>
                <w:szCs w:val="22"/>
              </w:rPr>
            </w:pPr>
            <w:proofErr w:type="gramStart"/>
            <w:r w:rsidRPr="00560F35">
              <w:rPr>
                <w:rFonts w:ascii="Calibri" w:eastAsia="Calibri" w:hAnsi="Calibri" w:cs="Calibri"/>
                <w:sz w:val="22"/>
                <w:szCs w:val="22"/>
              </w:rPr>
              <w:t>the</w:t>
            </w:r>
            <w:proofErr w:type="gramEnd"/>
            <w:r w:rsidRPr="00560F35">
              <w:rPr>
                <w:rFonts w:ascii="Calibri" w:eastAsia="Calibri" w:hAnsi="Calibri" w:cs="Calibri"/>
                <w:sz w:val="22"/>
                <w:szCs w:val="22"/>
              </w:rPr>
              <w:t xml:space="preserve"> second instalment, 40% of the contract amount, after the contracting and upon the submission of the</w:t>
            </w:r>
            <w:r w:rsidR="00F34AF2">
              <w:rPr>
                <w:rFonts w:ascii="Calibri" w:eastAsia="Calibri" w:hAnsi="Calibri" w:cs="Calibri"/>
                <w:sz w:val="22"/>
                <w:szCs w:val="22"/>
              </w:rPr>
              <w:t xml:space="preserve"> Deliverable 3</w:t>
            </w:r>
            <w:r w:rsidR="00F75ECC">
              <w:rPr>
                <w:rFonts w:ascii="Calibri" w:eastAsia="Calibri" w:hAnsi="Calibri" w:cs="Calibri"/>
                <w:sz w:val="22"/>
                <w:szCs w:val="22"/>
              </w:rPr>
              <w:t>.</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Any remarks, proposals, complaints or claims to the consultant regarding services </w:t>
            </w:r>
            <w:proofErr w:type="gramStart"/>
            <w:r>
              <w:rPr>
                <w:rFonts w:ascii="Calibri" w:eastAsia="Calibri" w:hAnsi="Calibri" w:cs="Calibri"/>
                <w:sz w:val="22"/>
                <w:szCs w:val="22"/>
              </w:rPr>
              <w:t>being provided</w:t>
            </w:r>
            <w:proofErr w:type="gramEnd"/>
            <w:r>
              <w:rPr>
                <w:rFonts w:ascii="Calibri" w:eastAsia="Calibri" w:hAnsi="Calibri" w:cs="Calibri"/>
                <w:sz w:val="22"/>
                <w:szCs w:val="22"/>
              </w:rPr>
              <w:t xml:space="preserve"> in line with these terms of reference should be submitted to the consultant in writing within 10 days of submission of consultancy deliverables or reports by the consultant.</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The scope of works to be performed by the consultant under these terms of reference, as well as other conditions of the consultancy, could be modified, if required, through a written agreement between the consultant and UNFPA.</w:t>
            </w:r>
          </w:p>
          <w:p w:rsidR="00470543" w:rsidRDefault="00470543">
            <w:pPr>
              <w:tabs>
                <w:tab w:val="left" w:pos="-720"/>
              </w:tabs>
              <w:spacing w:before="40" w:after="54"/>
              <w:ind w:left="0" w:hanging="2"/>
              <w:jc w:val="both"/>
              <w:rPr>
                <w:rFonts w:ascii="Calibri" w:eastAsia="Calibri" w:hAnsi="Calibri" w:cs="Calibri"/>
                <w:sz w:val="22"/>
                <w:szCs w:val="22"/>
              </w:rPr>
            </w:pPr>
          </w:p>
          <w:p w:rsidR="003F495A" w:rsidRDefault="00CD2D53">
            <w:pPr>
              <w:tabs>
                <w:tab w:val="left" w:pos="-720"/>
              </w:tabs>
              <w:spacing w:before="40" w:after="54"/>
              <w:ind w:left="0" w:hanging="2"/>
              <w:jc w:val="both"/>
              <w:rPr>
                <w:rFonts w:ascii="Calibri" w:eastAsia="Calibri" w:hAnsi="Calibri" w:cs="Calibri"/>
                <w:b/>
                <w:sz w:val="22"/>
                <w:szCs w:val="22"/>
              </w:rPr>
            </w:pPr>
            <w:r>
              <w:rPr>
                <w:rFonts w:ascii="Calibri" w:eastAsia="Calibri" w:hAnsi="Calibri" w:cs="Calibri"/>
                <w:b/>
                <w:sz w:val="22"/>
                <w:szCs w:val="22"/>
              </w:rPr>
              <w:t>Intellectual property</w:t>
            </w:r>
          </w:p>
          <w:p w:rsidR="003F495A" w:rsidRDefault="00CD2D53">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All information pertaining to this project (documentary, pictures, digital, cyber, project documents, etc</w:t>
            </w:r>
            <w:r w:rsidR="00B74E6B">
              <w:rPr>
                <w:rFonts w:ascii="Calibri" w:eastAsia="Calibri" w:hAnsi="Calibri" w:cs="Calibri"/>
                <w:sz w:val="22"/>
                <w:szCs w:val="22"/>
              </w:rPr>
              <w:t>.</w:t>
            </w:r>
            <w:r>
              <w:rPr>
                <w:rFonts w:ascii="Calibri" w:eastAsia="Calibri" w:hAnsi="Calibri" w:cs="Calibri"/>
                <w:sz w:val="22"/>
                <w:szCs w:val="22"/>
              </w:rPr>
              <w:t>) belonging to UNFPA, which the consultant may come into contact with in the performance of his/her duties under the assignment shall remain the property of UNFPA, which shall have exclusive rights over their use. Except for purposes of this assignment, the information shall not be disclosed to the public nor used in whatever manner without written permission of UNFPA in line with the national and international Copyright Laws applicable.</w:t>
            </w:r>
          </w:p>
          <w:p w:rsidR="002375C9" w:rsidRDefault="002375C9">
            <w:pPr>
              <w:tabs>
                <w:tab w:val="left" w:pos="-720"/>
              </w:tabs>
              <w:spacing w:before="40" w:after="54"/>
              <w:ind w:left="0" w:hanging="2"/>
              <w:jc w:val="both"/>
              <w:rPr>
                <w:rFonts w:ascii="Calibri" w:eastAsia="Calibri" w:hAnsi="Calibri" w:cs="Calibri"/>
                <w:sz w:val="22"/>
                <w:szCs w:val="22"/>
              </w:rPr>
            </w:pPr>
          </w:p>
          <w:p w:rsidR="002375C9" w:rsidRPr="002375C9" w:rsidRDefault="002375C9" w:rsidP="002375C9">
            <w:pPr>
              <w:tabs>
                <w:tab w:val="left" w:pos="-720"/>
              </w:tabs>
              <w:spacing w:before="40" w:after="54"/>
              <w:ind w:left="0" w:hanging="2"/>
              <w:jc w:val="both"/>
              <w:rPr>
                <w:rFonts w:ascii="Calibri" w:eastAsia="Calibri" w:hAnsi="Calibri" w:cs="Calibri"/>
                <w:b/>
                <w:sz w:val="22"/>
                <w:szCs w:val="22"/>
              </w:rPr>
            </w:pPr>
            <w:r w:rsidRPr="002375C9">
              <w:rPr>
                <w:rFonts w:ascii="Calibri" w:eastAsia="Calibri" w:hAnsi="Calibri" w:cs="Calibri"/>
                <w:b/>
                <w:sz w:val="22"/>
                <w:szCs w:val="22"/>
              </w:rPr>
              <w:t>Application Process</w:t>
            </w:r>
          </w:p>
          <w:p w:rsidR="003E0238"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The consultant will be identified via </w:t>
            </w:r>
            <w:r w:rsidR="003E0238">
              <w:rPr>
                <w:rFonts w:ascii="Calibri" w:eastAsia="Calibri" w:hAnsi="Calibri" w:cs="Calibri"/>
                <w:sz w:val="22"/>
                <w:szCs w:val="22"/>
              </w:rPr>
              <w:t xml:space="preserve">open-call </w:t>
            </w:r>
            <w:r>
              <w:rPr>
                <w:rFonts w:ascii="Calibri" w:eastAsia="Calibri" w:hAnsi="Calibri" w:cs="Calibri"/>
                <w:sz w:val="22"/>
                <w:szCs w:val="22"/>
              </w:rPr>
              <w:t xml:space="preserve">competitive selection process. </w:t>
            </w:r>
          </w:p>
          <w:p w:rsidR="002375C9"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To be considered for the role, one needs to submit to </w:t>
            </w:r>
            <w:hyperlink r:id="rId9" w:history="1">
              <w:r w:rsidRPr="00AD7211">
                <w:rPr>
                  <w:rStyle w:val="a6"/>
                  <w:rFonts w:ascii="Calibri" w:eastAsia="Calibri" w:hAnsi="Calibri" w:cs="Calibri"/>
                  <w:sz w:val="22"/>
                  <w:szCs w:val="22"/>
                </w:rPr>
                <w:t>ukraine.office@unfpa.org</w:t>
              </w:r>
            </w:hyperlink>
            <w:r>
              <w:rPr>
                <w:rFonts w:ascii="Calibri" w:eastAsia="Calibri" w:hAnsi="Calibri" w:cs="Calibri"/>
                <w:sz w:val="22"/>
                <w:szCs w:val="22"/>
              </w:rPr>
              <w:t xml:space="preserve"> by</w:t>
            </w:r>
            <w:r w:rsidR="00A3684C">
              <w:rPr>
                <w:rFonts w:ascii="Calibri" w:eastAsia="Calibri" w:hAnsi="Calibri" w:cs="Calibri"/>
                <w:sz w:val="22"/>
                <w:szCs w:val="22"/>
              </w:rPr>
              <w:t xml:space="preserve"> </w:t>
            </w:r>
            <w:r w:rsidR="008E6E6C">
              <w:rPr>
                <w:rFonts w:ascii="Calibri" w:eastAsia="Calibri" w:hAnsi="Calibri" w:cs="Calibri"/>
                <w:sz w:val="22"/>
                <w:szCs w:val="22"/>
              </w:rPr>
              <w:t>December</w:t>
            </w:r>
            <w:r w:rsidR="00D15BED">
              <w:rPr>
                <w:rFonts w:ascii="Calibri" w:eastAsia="Calibri" w:hAnsi="Calibri" w:cs="Calibri"/>
                <w:sz w:val="22"/>
                <w:szCs w:val="22"/>
              </w:rPr>
              <w:t>1</w:t>
            </w:r>
            <w:r w:rsidR="002A187B">
              <w:rPr>
                <w:rFonts w:ascii="Calibri" w:eastAsia="Calibri" w:hAnsi="Calibri" w:cs="Calibri"/>
                <w:sz w:val="22"/>
                <w:szCs w:val="22"/>
              </w:rPr>
              <w:t>, 2021</w:t>
            </w:r>
            <w:r>
              <w:rPr>
                <w:rFonts w:ascii="Calibri" w:eastAsia="Calibri" w:hAnsi="Calibri" w:cs="Calibri"/>
                <w:sz w:val="22"/>
                <w:szCs w:val="22"/>
              </w:rPr>
              <w:t xml:space="preserve"> an application comprised of the following documents:</w:t>
            </w:r>
          </w:p>
          <w:p w:rsidR="002375C9" w:rsidRPr="002375C9" w:rsidRDefault="002375C9" w:rsidP="003E0238">
            <w:pPr>
              <w:pStyle w:val="af1"/>
              <w:numPr>
                <w:ilvl w:val="0"/>
                <w:numId w:val="23"/>
              </w:numPr>
              <w:tabs>
                <w:tab w:val="left" w:pos="-720"/>
              </w:tabs>
              <w:spacing w:before="40" w:after="54"/>
              <w:ind w:leftChars="0" w:firstLineChars="0"/>
              <w:jc w:val="both"/>
              <w:rPr>
                <w:rFonts w:ascii="Calibri" w:eastAsia="Calibri" w:hAnsi="Calibri" w:cs="Calibri"/>
                <w:sz w:val="22"/>
                <w:szCs w:val="22"/>
              </w:rPr>
            </w:pPr>
            <w:r w:rsidRPr="002375C9">
              <w:rPr>
                <w:rFonts w:ascii="Calibri" w:eastAsia="Calibri" w:hAnsi="Calibri" w:cs="Calibri"/>
                <w:sz w:val="22"/>
                <w:szCs w:val="22"/>
              </w:rPr>
              <w:t>Professional CV;</w:t>
            </w:r>
          </w:p>
          <w:p w:rsidR="002375C9" w:rsidRDefault="002375C9" w:rsidP="003E0238">
            <w:pPr>
              <w:pStyle w:val="af1"/>
              <w:numPr>
                <w:ilvl w:val="0"/>
                <w:numId w:val="18"/>
              </w:numPr>
              <w:tabs>
                <w:tab w:val="left" w:pos="-720"/>
              </w:tabs>
              <w:spacing w:before="40"/>
              <w:ind w:leftChars="0" w:firstLineChars="0"/>
              <w:jc w:val="both"/>
              <w:rPr>
                <w:rFonts w:ascii="Calibri" w:eastAsia="Calibri" w:hAnsi="Calibri" w:cs="Calibri"/>
                <w:sz w:val="22"/>
                <w:szCs w:val="22"/>
              </w:rPr>
            </w:pPr>
            <w:r w:rsidRPr="00560F35">
              <w:rPr>
                <w:rFonts w:ascii="Calibri" w:eastAsia="Calibri" w:hAnsi="Calibri" w:cs="Calibri"/>
                <w:sz w:val="22"/>
                <w:szCs w:val="22"/>
              </w:rPr>
              <w:t>A list of successful completed research assignments in soci</w:t>
            </w:r>
            <w:r w:rsidR="00D15BED">
              <w:rPr>
                <w:rFonts w:ascii="Calibri" w:eastAsia="Calibri" w:hAnsi="Calibri" w:cs="Calibri"/>
                <w:sz w:val="22"/>
                <w:szCs w:val="22"/>
              </w:rPr>
              <w:t>al domain</w:t>
            </w:r>
            <w:r w:rsidRPr="00560F35">
              <w:rPr>
                <w:rFonts w:ascii="Calibri" w:eastAsia="Calibri" w:hAnsi="Calibri" w:cs="Calibri"/>
                <w:sz w:val="22"/>
                <w:szCs w:val="22"/>
              </w:rPr>
              <w:t>;</w:t>
            </w:r>
          </w:p>
          <w:p w:rsidR="002375C9" w:rsidRPr="00C211E8" w:rsidRDefault="002375C9" w:rsidP="00C211E8">
            <w:pPr>
              <w:pStyle w:val="af1"/>
              <w:numPr>
                <w:ilvl w:val="0"/>
                <w:numId w:val="18"/>
              </w:numPr>
              <w:tabs>
                <w:tab w:val="left" w:pos="-720"/>
              </w:tabs>
              <w:spacing w:before="40"/>
              <w:ind w:leftChars="0" w:firstLineChars="0"/>
              <w:jc w:val="both"/>
              <w:rPr>
                <w:rFonts w:ascii="Calibri" w:eastAsia="Calibri" w:hAnsi="Calibri" w:cs="Calibri"/>
                <w:sz w:val="22"/>
                <w:szCs w:val="22"/>
              </w:rPr>
            </w:pPr>
            <w:r w:rsidRPr="00560F35">
              <w:rPr>
                <w:rFonts w:ascii="Calibri" w:eastAsia="Calibri" w:hAnsi="Calibri" w:cs="Calibri"/>
                <w:sz w:val="22"/>
                <w:szCs w:val="22"/>
              </w:rPr>
              <w:t xml:space="preserve">Links to summary or published reports if </w:t>
            </w:r>
            <w:r w:rsidR="003E0238">
              <w:rPr>
                <w:rFonts w:ascii="Calibri" w:eastAsia="Calibri" w:hAnsi="Calibri" w:cs="Calibri"/>
                <w:sz w:val="22"/>
                <w:szCs w:val="22"/>
              </w:rPr>
              <w:t>available</w:t>
            </w:r>
            <w:r w:rsidRPr="00560F35">
              <w:rPr>
                <w:rFonts w:ascii="Calibri" w:eastAsia="Calibri" w:hAnsi="Calibri" w:cs="Calibri"/>
                <w:sz w:val="22"/>
                <w:szCs w:val="22"/>
              </w:rPr>
              <w:t>;</w:t>
            </w:r>
          </w:p>
          <w:p w:rsidR="002C1A4C" w:rsidRPr="002375C9" w:rsidRDefault="00490CA0" w:rsidP="003E0238">
            <w:pPr>
              <w:pStyle w:val="af1"/>
              <w:numPr>
                <w:ilvl w:val="0"/>
                <w:numId w:val="18"/>
              </w:numPr>
              <w:tabs>
                <w:tab w:val="left" w:pos="-720"/>
              </w:tabs>
              <w:spacing w:before="40"/>
              <w:ind w:leftChars="0" w:firstLineChars="0"/>
              <w:jc w:val="both"/>
              <w:rPr>
                <w:rFonts w:ascii="Calibri" w:eastAsia="Calibri" w:hAnsi="Calibri" w:cs="Calibri"/>
                <w:sz w:val="22"/>
                <w:szCs w:val="22"/>
              </w:rPr>
            </w:pPr>
            <w:r>
              <w:rPr>
                <w:rFonts w:ascii="Calibri" w:eastAsia="Calibri" w:hAnsi="Calibri" w:cs="Calibri"/>
                <w:sz w:val="22"/>
                <w:szCs w:val="22"/>
              </w:rPr>
              <w:t>Technical proposal (description of methodology</w:t>
            </w:r>
            <w:r w:rsidR="00F75ECC">
              <w:rPr>
                <w:rFonts w:ascii="Calibri" w:eastAsia="Calibri" w:hAnsi="Calibri" w:cs="Calibri"/>
                <w:sz w:val="22"/>
                <w:szCs w:val="22"/>
              </w:rPr>
              <w:t xml:space="preserve"> and cost estimation</w:t>
            </w:r>
            <w:r w:rsidR="002C1A4C">
              <w:rPr>
                <w:rFonts w:ascii="Calibri" w:eastAsia="Calibri" w:hAnsi="Calibri" w:cs="Calibri"/>
                <w:sz w:val="22"/>
                <w:szCs w:val="22"/>
              </w:rPr>
              <w:t>)</w:t>
            </w:r>
          </w:p>
          <w:p w:rsidR="003F495A"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Only complete applications </w:t>
            </w:r>
            <w:r w:rsidR="003E0238">
              <w:rPr>
                <w:rFonts w:ascii="Calibri" w:eastAsia="Calibri" w:hAnsi="Calibri" w:cs="Calibri"/>
                <w:sz w:val="22"/>
                <w:szCs w:val="22"/>
              </w:rPr>
              <w:t xml:space="preserve">received by the deadline </w:t>
            </w:r>
            <w:r>
              <w:rPr>
                <w:rFonts w:ascii="Calibri" w:eastAsia="Calibri" w:hAnsi="Calibri" w:cs="Calibri"/>
                <w:sz w:val="22"/>
                <w:szCs w:val="22"/>
              </w:rPr>
              <w:t xml:space="preserve">will be </w:t>
            </w:r>
            <w:r w:rsidR="00B74E6B">
              <w:rPr>
                <w:rFonts w:ascii="Calibri" w:eastAsia="Calibri" w:hAnsi="Calibri" w:cs="Calibri"/>
                <w:sz w:val="22"/>
                <w:szCs w:val="22"/>
              </w:rPr>
              <w:t>evaluated</w:t>
            </w:r>
            <w:r w:rsidR="003E0238">
              <w:rPr>
                <w:rFonts w:ascii="Calibri" w:eastAsia="Calibri" w:hAnsi="Calibri" w:cs="Calibri"/>
                <w:sz w:val="22"/>
                <w:szCs w:val="22"/>
              </w:rPr>
              <w:t>.</w:t>
            </w:r>
          </w:p>
          <w:p w:rsidR="002375C9" w:rsidRDefault="002375C9" w:rsidP="003E0238">
            <w:pPr>
              <w:tabs>
                <w:tab w:val="left" w:pos="-720"/>
              </w:tabs>
              <w:spacing w:before="40" w:after="54"/>
              <w:ind w:left="0" w:hanging="2"/>
              <w:jc w:val="both"/>
              <w:rPr>
                <w:rFonts w:ascii="Calibri" w:eastAsia="Calibri" w:hAnsi="Calibri" w:cs="Calibri"/>
                <w:sz w:val="22"/>
                <w:szCs w:val="22"/>
              </w:rPr>
            </w:pPr>
            <w:r>
              <w:rPr>
                <w:rFonts w:ascii="Calibri" w:eastAsia="Calibri" w:hAnsi="Calibri" w:cs="Calibri"/>
                <w:sz w:val="22"/>
                <w:szCs w:val="22"/>
              </w:rPr>
              <w:t xml:space="preserve">In the subject of the letter, please state: </w:t>
            </w:r>
            <w:r w:rsidRPr="002375C9">
              <w:rPr>
                <w:rFonts w:ascii="Calibri" w:eastAsia="Calibri" w:hAnsi="Calibri" w:cs="Calibri"/>
                <w:i/>
                <w:sz w:val="22"/>
                <w:szCs w:val="22"/>
              </w:rPr>
              <w:t>Application</w:t>
            </w:r>
            <w:r w:rsidR="00C211E8">
              <w:rPr>
                <w:rFonts w:ascii="Calibri" w:eastAsia="Calibri" w:hAnsi="Calibri" w:cs="Calibri"/>
                <w:i/>
                <w:sz w:val="22"/>
                <w:szCs w:val="22"/>
              </w:rPr>
              <w:t xml:space="preserve"> for</w:t>
            </w:r>
            <w:r w:rsidR="00A3684C">
              <w:rPr>
                <w:rFonts w:ascii="Calibri" w:eastAsia="Calibri" w:hAnsi="Calibri" w:cs="Calibri"/>
                <w:i/>
                <w:sz w:val="22"/>
                <w:szCs w:val="22"/>
              </w:rPr>
              <w:t xml:space="preserve"> </w:t>
            </w:r>
            <w:r w:rsidR="00C211E8">
              <w:rPr>
                <w:rFonts w:ascii="Calibri" w:eastAsia="Calibri" w:hAnsi="Calibri" w:cs="Calibri"/>
                <w:i/>
                <w:sz w:val="22"/>
                <w:szCs w:val="22"/>
                <w:lang w:val="en-US"/>
              </w:rPr>
              <w:t>National Consultant</w:t>
            </w:r>
            <w:r w:rsidRPr="002375C9">
              <w:rPr>
                <w:rFonts w:ascii="Calibri" w:eastAsia="Calibri" w:hAnsi="Calibri" w:cs="Calibri"/>
                <w:i/>
                <w:sz w:val="22"/>
                <w:szCs w:val="22"/>
              </w:rPr>
              <w:t xml:space="preserve"> on A</w:t>
            </w:r>
            <w:r w:rsidR="003E0238">
              <w:rPr>
                <w:rFonts w:ascii="Calibri" w:eastAsia="Calibri" w:hAnsi="Calibri" w:cs="Calibri"/>
                <w:i/>
                <w:sz w:val="22"/>
                <w:szCs w:val="22"/>
              </w:rPr>
              <w:t xml:space="preserve">2B and </w:t>
            </w:r>
            <w:r w:rsidR="00C211E8">
              <w:rPr>
                <w:rFonts w:ascii="Calibri" w:eastAsia="Calibri" w:hAnsi="Calibri" w:cs="Calibri"/>
                <w:i/>
                <w:sz w:val="22"/>
                <w:szCs w:val="22"/>
              </w:rPr>
              <w:t xml:space="preserve">GBV </w:t>
            </w:r>
            <w:r w:rsidR="003E0238">
              <w:rPr>
                <w:rFonts w:ascii="Calibri" w:eastAsia="Calibri" w:hAnsi="Calibri" w:cs="Calibri"/>
                <w:i/>
                <w:sz w:val="22"/>
                <w:szCs w:val="22"/>
              </w:rPr>
              <w:t>Case Management</w:t>
            </w:r>
          </w:p>
        </w:tc>
      </w:tr>
      <w:tr w:rsidR="003F495A" w:rsidTr="003E0238">
        <w:trPr>
          <w:trHeight w:val="220"/>
        </w:trPr>
        <w:tc>
          <w:tcPr>
            <w:tcW w:w="10686" w:type="dxa"/>
            <w:gridSpan w:val="2"/>
            <w:tcBorders>
              <w:top w:val="single" w:sz="6" w:space="0" w:color="000000"/>
              <w:left w:val="single" w:sz="6" w:space="0" w:color="000000"/>
              <w:bottom w:val="single" w:sz="6" w:space="0" w:color="000000"/>
              <w:right w:val="single" w:sz="4" w:space="0" w:color="auto"/>
            </w:tcBorders>
          </w:tcPr>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Signature of Requesting Officer in Hiring Office:</w:t>
            </w:r>
          </w:p>
          <w:p w:rsidR="003F495A" w:rsidRDefault="003F495A">
            <w:pPr>
              <w:tabs>
                <w:tab w:val="left" w:pos="-720"/>
              </w:tabs>
              <w:ind w:left="0" w:hanging="2"/>
              <w:rPr>
                <w:rFonts w:ascii="Calibri" w:eastAsia="Calibri" w:hAnsi="Calibri" w:cs="Calibri"/>
                <w:sz w:val="22"/>
                <w:szCs w:val="22"/>
              </w:rPr>
            </w:pPr>
          </w:p>
          <w:p w:rsidR="003F495A" w:rsidRDefault="00CD2D53">
            <w:pPr>
              <w:tabs>
                <w:tab w:val="left" w:pos="-720"/>
              </w:tabs>
              <w:ind w:left="0" w:hanging="2"/>
              <w:rPr>
                <w:rFonts w:ascii="Calibri" w:eastAsia="Calibri" w:hAnsi="Calibri" w:cs="Calibri"/>
                <w:sz w:val="22"/>
                <w:szCs w:val="22"/>
              </w:rPr>
            </w:pPr>
            <w:r>
              <w:rPr>
                <w:rFonts w:ascii="Calibri" w:eastAsia="Calibri" w:hAnsi="Calibri" w:cs="Calibri"/>
                <w:sz w:val="22"/>
                <w:szCs w:val="22"/>
              </w:rPr>
              <w:t>Date:</w:t>
            </w:r>
            <w:r w:rsidR="00A3684C">
              <w:rPr>
                <w:rFonts w:ascii="Calibri" w:eastAsia="Calibri" w:hAnsi="Calibri" w:cs="Calibri"/>
                <w:sz w:val="22"/>
                <w:szCs w:val="22"/>
              </w:rPr>
              <w:t xml:space="preserve"> </w:t>
            </w:r>
            <w:r w:rsidR="00F34AF2">
              <w:rPr>
                <w:rFonts w:ascii="Calibri" w:eastAsia="Calibri" w:hAnsi="Calibri" w:cs="Calibri"/>
                <w:sz w:val="22"/>
                <w:szCs w:val="22"/>
              </w:rPr>
              <w:t>October</w:t>
            </w:r>
            <w:r w:rsidR="002375C9">
              <w:rPr>
                <w:rFonts w:ascii="Calibri" w:eastAsia="Calibri" w:hAnsi="Calibri" w:cs="Calibri"/>
                <w:sz w:val="22"/>
                <w:szCs w:val="22"/>
              </w:rPr>
              <w:t xml:space="preserve"> 2021</w:t>
            </w:r>
          </w:p>
        </w:tc>
      </w:tr>
    </w:tbl>
    <w:p w:rsidR="003F495A" w:rsidRDefault="003F495A">
      <w:pPr>
        <w:ind w:left="0" w:hanging="2"/>
        <w:rPr>
          <w:rFonts w:ascii="Calibri" w:eastAsia="Calibri" w:hAnsi="Calibri" w:cs="Calibri"/>
          <w:sz w:val="22"/>
          <w:szCs w:val="22"/>
        </w:rPr>
      </w:pPr>
    </w:p>
    <w:sectPr w:rsidR="003F495A">
      <w:pgSz w:w="11906" w:h="16838"/>
      <w:pgMar w:top="54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5CC"/>
    <w:multiLevelType w:val="hybridMultilevel"/>
    <w:tmpl w:val="3DDEE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6090B"/>
    <w:multiLevelType w:val="hybridMultilevel"/>
    <w:tmpl w:val="59569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D57D7D"/>
    <w:multiLevelType w:val="multilevel"/>
    <w:tmpl w:val="130039C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0C1F25"/>
    <w:multiLevelType w:val="hybridMultilevel"/>
    <w:tmpl w:val="6264EA90"/>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4" w15:restartNumberingAfterBreak="0">
    <w:nsid w:val="0EB43DBD"/>
    <w:multiLevelType w:val="hybridMultilevel"/>
    <w:tmpl w:val="934C6C6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16C8230B"/>
    <w:multiLevelType w:val="multilevel"/>
    <w:tmpl w:val="3DEE4E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BDA24A0"/>
    <w:multiLevelType w:val="hybridMultilevel"/>
    <w:tmpl w:val="75FCC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B2C1C"/>
    <w:multiLevelType w:val="multilevel"/>
    <w:tmpl w:val="EBBA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6C501C"/>
    <w:multiLevelType w:val="multilevel"/>
    <w:tmpl w:val="F5C88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2F7861"/>
    <w:multiLevelType w:val="hybridMultilevel"/>
    <w:tmpl w:val="DDD61E44"/>
    <w:lvl w:ilvl="0" w:tplc="7C08B77A">
      <w:start w:val="2"/>
      <w:numFmt w:val="decimal"/>
      <w:lvlText w:val="4.%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480EA3"/>
    <w:multiLevelType w:val="hybridMultilevel"/>
    <w:tmpl w:val="69BA9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1" w15:restartNumberingAfterBreak="0">
    <w:nsid w:val="37725A75"/>
    <w:multiLevelType w:val="multilevel"/>
    <w:tmpl w:val="01322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7C3F11"/>
    <w:multiLevelType w:val="multilevel"/>
    <w:tmpl w:val="6434B7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1523140"/>
    <w:multiLevelType w:val="hybridMultilevel"/>
    <w:tmpl w:val="DBBAE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99066F"/>
    <w:multiLevelType w:val="multilevel"/>
    <w:tmpl w:val="14DE0120"/>
    <w:lvl w:ilvl="0">
      <w:start w:val="1"/>
      <w:numFmt w:val="decimal"/>
      <w:lvlText w:val="%1."/>
      <w:lvlJc w:val="left"/>
      <w:pPr>
        <w:ind w:left="720" w:hanging="360"/>
      </w:pPr>
      <w:rPr>
        <w:rFonts w:ascii="Calibri" w:eastAsia="Calibri" w:hAnsi="Calibri" w:cs="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5255376"/>
    <w:multiLevelType w:val="hybridMultilevel"/>
    <w:tmpl w:val="20220826"/>
    <w:lvl w:ilvl="0" w:tplc="8730D3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101090"/>
    <w:multiLevelType w:val="hybridMultilevel"/>
    <w:tmpl w:val="10BC3E5C"/>
    <w:lvl w:ilvl="0" w:tplc="7C08B77A">
      <w:start w:val="2"/>
      <w:numFmt w:val="decimal"/>
      <w:lvlText w:val="4.%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7" w15:restartNumberingAfterBreak="0">
    <w:nsid w:val="4F6F0F87"/>
    <w:multiLevelType w:val="multilevel"/>
    <w:tmpl w:val="B21C6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FC7068"/>
    <w:multiLevelType w:val="hybridMultilevel"/>
    <w:tmpl w:val="200CD5E6"/>
    <w:lvl w:ilvl="0" w:tplc="0419000F">
      <w:start w:val="1"/>
      <w:numFmt w:val="decimal"/>
      <w:lvlText w:val="%1."/>
      <w:lvlJc w:val="left"/>
      <w:pPr>
        <w:ind w:left="718" w:hanging="360"/>
      </w:p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9" w15:restartNumberingAfterBreak="0">
    <w:nsid w:val="5B7D1BA0"/>
    <w:multiLevelType w:val="hybridMultilevel"/>
    <w:tmpl w:val="096E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E70228"/>
    <w:multiLevelType w:val="hybridMultilevel"/>
    <w:tmpl w:val="FE302CB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A71C99"/>
    <w:multiLevelType w:val="multilevel"/>
    <w:tmpl w:val="A5C06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6A6E1A"/>
    <w:multiLevelType w:val="multilevel"/>
    <w:tmpl w:val="6BC8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5B61FF8"/>
    <w:multiLevelType w:val="hybridMultilevel"/>
    <w:tmpl w:val="523A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5B4CC8"/>
    <w:multiLevelType w:val="hybridMultilevel"/>
    <w:tmpl w:val="93B6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746611"/>
    <w:multiLevelType w:val="multilevel"/>
    <w:tmpl w:val="DD4A1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11"/>
  </w:num>
  <w:num w:numId="3">
    <w:abstractNumId w:val="25"/>
  </w:num>
  <w:num w:numId="4">
    <w:abstractNumId w:val="8"/>
  </w:num>
  <w:num w:numId="5">
    <w:abstractNumId w:val="17"/>
  </w:num>
  <w:num w:numId="6">
    <w:abstractNumId w:val="21"/>
  </w:num>
  <w:num w:numId="7">
    <w:abstractNumId w:val="2"/>
  </w:num>
  <w:num w:numId="8">
    <w:abstractNumId w:val="22"/>
  </w:num>
  <w:num w:numId="9">
    <w:abstractNumId w:val="12"/>
  </w:num>
  <w:num w:numId="10">
    <w:abstractNumId w:val="7"/>
  </w:num>
  <w:num w:numId="11">
    <w:abstractNumId w:val="5"/>
  </w:num>
  <w:num w:numId="12">
    <w:abstractNumId w:val="6"/>
  </w:num>
  <w:num w:numId="13">
    <w:abstractNumId w:val="10"/>
  </w:num>
  <w:num w:numId="14">
    <w:abstractNumId w:val="20"/>
  </w:num>
  <w:num w:numId="15">
    <w:abstractNumId w:val="23"/>
  </w:num>
  <w:num w:numId="16">
    <w:abstractNumId w:val="24"/>
  </w:num>
  <w:num w:numId="17">
    <w:abstractNumId w:val="13"/>
  </w:num>
  <w:num w:numId="18">
    <w:abstractNumId w:val="19"/>
  </w:num>
  <w:num w:numId="19">
    <w:abstractNumId w:val="0"/>
  </w:num>
  <w:num w:numId="20">
    <w:abstractNumId w:val="15"/>
  </w:num>
  <w:num w:numId="21">
    <w:abstractNumId w:val="9"/>
  </w:num>
  <w:num w:numId="22">
    <w:abstractNumId w:val="16"/>
  </w:num>
  <w:num w:numId="23">
    <w:abstractNumId w:val="4"/>
  </w:num>
  <w:num w:numId="24">
    <w:abstractNumId w:val="3"/>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5A"/>
    <w:rsid w:val="00022FD3"/>
    <w:rsid w:val="00127AB1"/>
    <w:rsid w:val="001D1EAF"/>
    <w:rsid w:val="001E45AB"/>
    <w:rsid w:val="002375C9"/>
    <w:rsid w:val="002A187B"/>
    <w:rsid w:val="002C1A4C"/>
    <w:rsid w:val="002C5616"/>
    <w:rsid w:val="003E0238"/>
    <w:rsid w:val="003F495A"/>
    <w:rsid w:val="00470543"/>
    <w:rsid w:val="00490CA0"/>
    <w:rsid w:val="005269CB"/>
    <w:rsid w:val="00560F35"/>
    <w:rsid w:val="005B5B47"/>
    <w:rsid w:val="007A4300"/>
    <w:rsid w:val="007B405F"/>
    <w:rsid w:val="00800186"/>
    <w:rsid w:val="008127DC"/>
    <w:rsid w:val="008E6E6C"/>
    <w:rsid w:val="00A3684C"/>
    <w:rsid w:val="00B74E6B"/>
    <w:rsid w:val="00BA0170"/>
    <w:rsid w:val="00C211E8"/>
    <w:rsid w:val="00C734A4"/>
    <w:rsid w:val="00CD2D53"/>
    <w:rsid w:val="00D15BED"/>
    <w:rsid w:val="00D2180F"/>
    <w:rsid w:val="00E04015"/>
    <w:rsid w:val="00E61C0C"/>
    <w:rsid w:val="00F34AF2"/>
    <w:rsid w:val="00F75ECC"/>
    <w:rsid w:val="00FC2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CA35-0216-4663-84F0-4AD2A211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eastAsia="en-US"/>
    </w:rPr>
  </w:style>
  <w:style w:type="paragraph" w:styleId="1">
    <w:name w:val="heading 1"/>
    <w:basedOn w:val="a"/>
    <w:next w:val="a"/>
    <w:pPr>
      <w:keepNext/>
      <w:widowControl w:val="0"/>
      <w:tabs>
        <w:tab w:val="left" w:pos="-720"/>
      </w:tabs>
      <w:suppressAutoHyphens w:val="0"/>
      <w:jc w:val="both"/>
    </w:pPr>
    <w:rPr>
      <w:rFonts w:ascii="Palatino" w:hAnsi="Palatino"/>
      <w:b/>
      <w:sz w:val="22"/>
      <w:szCs w:val="20"/>
      <w:lang w:val="en-US"/>
    </w:rPr>
  </w:style>
  <w:style w:type="paragraph" w:styleId="2">
    <w:name w:val="heading 2"/>
    <w:basedOn w:val="a"/>
    <w:next w:val="a"/>
    <w:pPr>
      <w:keepNext/>
      <w:widowControl w:val="0"/>
      <w:tabs>
        <w:tab w:val="left" w:pos="-720"/>
      </w:tabs>
      <w:suppressAutoHyphens w:val="0"/>
      <w:jc w:val="center"/>
      <w:outlineLvl w:val="1"/>
    </w:pPr>
    <w:rPr>
      <w:rFonts w:ascii="Palatino" w:hAnsi="Palatino"/>
      <w:b/>
      <w:sz w:val="20"/>
      <w:szCs w:val="20"/>
      <w:lang w:val="en-US"/>
    </w:rPr>
  </w:style>
  <w:style w:type="paragraph" w:styleId="3">
    <w:name w:val="heading 3"/>
    <w:basedOn w:val="a"/>
    <w:next w:val="a"/>
    <w:pPr>
      <w:keepNext/>
      <w:tabs>
        <w:tab w:val="left" w:pos="-720"/>
      </w:tabs>
      <w:suppressAutoHyphens w:val="0"/>
      <w:spacing w:before="109" w:after="54"/>
      <w:outlineLvl w:val="2"/>
    </w:pPr>
    <w:rPr>
      <w:rFonts w:ascii="Palatino" w:hAnsi="Palatino"/>
      <w:b/>
      <w:sz w:val="22"/>
      <w:szCs w:val="20"/>
      <w:lang w:val="en-US"/>
    </w:rPr>
  </w:style>
  <w:style w:type="paragraph" w:styleId="4">
    <w:name w:val="heading 4"/>
    <w:basedOn w:val="a"/>
    <w:next w:val="a"/>
    <w:pPr>
      <w:keepNext/>
      <w:jc w:val="right"/>
      <w:outlineLvl w:val="3"/>
    </w:pPr>
    <w:rPr>
      <w:rFonts w:ascii="Palatino" w:hAnsi="Palatino"/>
      <w:b/>
      <w:sz w:val="22"/>
      <w:szCs w:val="20"/>
      <w:lang w:val="en-US"/>
    </w:rPr>
  </w:style>
  <w:style w:type="paragraph" w:styleId="5">
    <w:name w:val="heading 5"/>
    <w:basedOn w:val="a"/>
    <w:next w:val="a"/>
    <w:pPr>
      <w:spacing w:before="240" w:after="60"/>
      <w:outlineLvl w:val="4"/>
    </w:pPr>
    <w:rPr>
      <w:b/>
      <w:bCs/>
      <w:i/>
      <w:iCs/>
      <w:sz w:val="26"/>
      <w:szCs w:val="26"/>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pPr>
      <w:autoSpaceDE w:val="0"/>
      <w:autoSpaceDN w:val="0"/>
      <w:spacing w:after="240"/>
      <w:jc w:val="center"/>
    </w:pPr>
    <w:rPr>
      <w:rFonts w:ascii="Arial" w:hAnsi="Arial" w:cs="Arial"/>
      <w:b/>
      <w:bCs/>
      <w:spacing w:val="-2"/>
      <w:lang w:val="es-MX" w:eastAsia="es-ES"/>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widowControl w:val="0"/>
      <w:tabs>
        <w:tab w:val="left" w:pos="-720"/>
        <w:tab w:val="left" w:pos="0"/>
      </w:tabs>
      <w:suppressAutoHyphens w:val="0"/>
      <w:jc w:val="both"/>
    </w:pPr>
    <w:rPr>
      <w:rFonts w:ascii="Palatino" w:hAnsi="Palatino"/>
      <w:sz w:val="22"/>
      <w:szCs w:val="20"/>
      <w:lang w:val="en-US"/>
    </w:rPr>
  </w:style>
  <w:style w:type="paragraph" w:styleId="a5">
    <w:name w:val="endnote text"/>
    <w:basedOn w:val="a"/>
    <w:pPr>
      <w:widowControl w:val="0"/>
    </w:pPr>
    <w:rPr>
      <w:rFonts w:ascii="Courier" w:hAnsi="Courier"/>
      <w:szCs w:val="20"/>
    </w:rPr>
  </w:style>
  <w:style w:type="character" w:styleId="a6">
    <w:name w:val="Hyperlink"/>
    <w:rPr>
      <w:color w:val="0000FF"/>
      <w:w w:val="100"/>
      <w:position w:val="-1"/>
      <w:u w:val="single"/>
      <w:effect w:val="none"/>
      <w:vertAlign w:val="baseline"/>
      <w:cs w:val="0"/>
      <w:em w:val="none"/>
    </w:rPr>
  </w:style>
  <w:style w:type="paragraph" w:styleId="20">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styleId="a7">
    <w:name w:val="Normal (Web)"/>
    <w:basedOn w:val="a"/>
    <w:pPr>
      <w:spacing w:before="100" w:beforeAutospacing="1" w:after="100" w:afterAutospacing="1"/>
    </w:pPr>
    <w:rPr>
      <w:lang w:val="es-ES" w:eastAsia="es-ES"/>
    </w:rPr>
  </w:style>
  <w:style w:type="table" w:styleId="a8">
    <w:name w:val="Table Grid"/>
    <w:basedOn w:val="TableNormal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a2"/>
  </w:style>
  <w:style w:type="paragraph" w:styleId="a9">
    <w:name w:val="Balloon Text"/>
    <w:basedOn w:val="a"/>
    <w:rPr>
      <w:rFonts w:ascii="Tahoma" w:hAnsi="Tahoma" w:cs="Tahoma"/>
      <w:sz w:val="16"/>
      <w:szCs w:val="16"/>
    </w:rPr>
  </w:style>
  <w:style w:type="paragraph" w:styleId="aa">
    <w:name w:val="footnote text"/>
    <w:basedOn w:val="a"/>
    <w:rPr>
      <w:sz w:val="20"/>
      <w:szCs w:val="20"/>
    </w:rPr>
  </w:style>
  <w:style w:type="character" w:styleId="ab">
    <w:name w:val="footnote reference"/>
    <w:rPr>
      <w:w w:val="100"/>
      <w:position w:val="-1"/>
      <w:effect w:val="none"/>
      <w:vertAlign w:val="superscript"/>
      <w:cs w:val="0"/>
      <w:em w:val="none"/>
    </w:rPr>
  </w:style>
  <w:style w:type="paragraph" w:customStyle="1" w:styleId="indent1">
    <w:name w:val="indent1"/>
    <w:basedOn w:val="a"/>
    <w:pPr>
      <w:ind w:left="720" w:hanging="720"/>
      <w:jc w:val="both"/>
    </w:pPr>
    <w:rPr>
      <w:rFonts w:ascii="Times" w:hAnsi="Times"/>
      <w:lang w:eastAsia="zh-CN"/>
    </w:rPr>
  </w:style>
  <w:style w:type="paragraph" w:styleId="ac">
    <w:name w:val="header"/>
    <w:basedOn w:val="a"/>
    <w:pPr>
      <w:tabs>
        <w:tab w:val="center" w:pos="4320"/>
        <w:tab w:val="right" w:pos="8640"/>
      </w:tabs>
    </w:pPr>
  </w:style>
  <w:style w:type="paragraph" w:styleId="ad">
    <w:name w:val="footer"/>
    <w:basedOn w:val="a"/>
    <w:pPr>
      <w:tabs>
        <w:tab w:val="center" w:pos="4320"/>
        <w:tab w:val="right" w:pos="8640"/>
      </w:tabs>
    </w:pPr>
  </w:style>
  <w:style w:type="paragraph" w:customStyle="1" w:styleId="CharCharCharCharCharCharChar">
    <w:name w:val="Char Char Char Char Char Char Char"/>
    <w:basedOn w:val="a"/>
    <w:pPr>
      <w:spacing w:before="120" w:after="160" w:line="240" w:lineRule="atLeast"/>
    </w:pPr>
    <w:rPr>
      <w:rFonts w:ascii="Verdana" w:hAnsi="Verdana" w:cs="Arial"/>
      <w:sz w:val="20"/>
      <w:szCs w:val="20"/>
      <w:lang w:val="en-US"/>
    </w:rPr>
  </w:style>
  <w:style w:type="paragraph" w:customStyle="1" w:styleId="DefaultParagraphFontCharCharDefaultParagraphFontParaCharCharCharCharDefaultParagraphFontCharChar11DefaultParagraphFontCharChar1Char">
    <w:name w:val="Default Paragraph Font Char Char;Default Paragraph Font Para Char Char Char Char;Default Paragraph Font Char Char11;Default Paragraph Font Char Char1 Char"/>
    <w:basedOn w:val="a"/>
    <w:pPr>
      <w:spacing w:after="160" w:line="240" w:lineRule="atLeast"/>
    </w:pPr>
    <w:rPr>
      <w:rFonts w:ascii="Arial" w:hAnsi="Arial"/>
      <w:sz w:val="20"/>
      <w:szCs w:val="20"/>
      <w:lang w:val="en-US"/>
    </w:rPr>
  </w:style>
  <w:style w:type="character" w:customStyle="1" w:styleId="CommentReference1">
    <w:name w:val="Comment Reference1"/>
    <w:rPr>
      <w:w w:val="100"/>
      <w:position w:val="-1"/>
      <w:sz w:val="16"/>
      <w:szCs w:val="16"/>
      <w:effect w:val="none"/>
      <w:vertAlign w:val="baseline"/>
      <w:cs w:val="0"/>
      <w:em w:val="none"/>
    </w:rPr>
  </w:style>
  <w:style w:type="paragraph" w:customStyle="1" w:styleId="CommentText1">
    <w:name w:val="Comment Text1"/>
    <w:basedOn w:val="a"/>
    <w:rPr>
      <w:sz w:val="20"/>
      <w:szCs w:val="20"/>
    </w:rPr>
  </w:style>
  <w:style w:type="character" w:customStyle="1" w:styleId="CommentTextChar">
    <w:name w:val="Comment Text Char"/>
    <w:rPr>
      <w:w w:val="100"/>
      <w:position w:val="-1"/>
      <w:effect w:val="none"/>
      <w:vertAlign w:val="baseline"/>
      <w:cs w:val="0"/>
      <w:em w:val="none"/>
      <w:lang w:val="en-GB"/>
    </w:rPr>
  </w:style>
  <w:style w:type="paragraph" w:customStyle="1" w:styleId="CommentSubject1">
    <w:name w:val="Comment Subject1"/>
    <w:basedOn w:val="CommentText1"/>
    <w:next w:val="CommentText1"/>
    <w:rPr>
      <w:b/>
      <w:bCs/>
    </w:rPr>
  </w:style>
  <w:style w:type="character" w:customStyle="1" w:styleId="CommentSubjectChar">
    <w:name w:val="Comment Subject Char"/>
    <w:rPr>
      <w:b/>
      <w:bCs/>
      <w:w w:val="100"/>
      <w:position w:val="-1"/>
      <w:effect w:val="none"/>
      <w:vertAlign w:val="baseline"/>
      <w:cs w:val="0"/>
      <w:em w:val="none"/>
      <w:lang w:val="en-GB"/>
    </w:rPr>
  </w:style>
  <w:style w:type="paragraph" w:customStyle="1" w:styleId="ListParagraphListParagraphnumbereda1LapisBulletedListBulletsListParagraph1List100sWBParanormalNormal1Normal2Normal3Normal4Normal5Normal6Normal7paragraphParagraphedeliste1">
    <w:name w:val="List Paragraph;List Paragraph (numbered (a));Абзац списка1;Lapis Bulleted List;Bullets;List Paragraph1;List 100s;WB Para;normal;Normal1;Normal2;Normal3;Normal4;Normal5;Normal6;Normal7;paragraph;Paragraphe de liste1"/>
    <w:basedOn w:val="a"/>
    <w:pPr>
      <w:ind w:left="720"/>
    </w:pPr>
  </w:style>
  <w:style w:type="character" w:customStyle="1" w:styleId="ListParagraphCharListParagraphnumberedaChar1CharLapisBulletedListCharBulletsCharListParagraph1CharList100sCharWBParaCharnormalCharNormal1CharNormal2CharNormal3CharNormal4CharNormal5CharNormal6Char">
    <w:name w:val="List Paragraph Char;List Paragraph (numbered (a)) Char;Абзац списка1 Char;Lapis Bulleted List Char;Bullets Char;List Paragraph1 Char;List 100s Char;WB Para Char;normal Char;Normal1 Char;Normal2 Char;Normal3 Char;Normal4 Char;Normal5 Char;Normal6 Char"/>
    <w:rPr>
      <w:w w:val="100"/>
      <w:position w:val="-1"/>
      <w:sz w:val="24"/>
      <w:szCs w:val="24"/>
      <w:effect w:val="none"/>
      <w:vertAlign w:val="baseline"/>
      <w:cs w:val="0"/>
      <w:em w:val="none"/>
      <w:lang w:val="en-GB" w:eastAsia="en-US"/>
    </w:rPr>
  </w:style>
  <w:style w:type="character" w:customStyle="1" w:styleId="rvts44">
    <w:name w:val="rvts44"/>
    <w:rPr>
      <w:w w:val="100"/>
      <w:position w:val="-1"/>
      <w:effect w:val="none"/>
      <w:vertAlign w:val="baseline"/>
      <w:cs w:val="0"/>
      <w:em w:val="none"/>
    </w:rPr>
  </w:style>
  <w:style w:type="paragraph" w:customStyle="1" w:styleId="m-5868436092856549093msobodytext2">
    <w:name w:val="m_-5868436092856549093msobodytext2"/>
    <w:basedOn w:val="a"/>
    <w:pPr>
      <w:spacing w:before="100" w:beforeAutospacing="1" w:after="100" w:afterAutospacing="1"/>
    </w:pPr>
    <w:rPr>
      <w:lang w:val="uk-UA" w:eastAsia="uk-UA"/>
    </w:rPr>
  </w:style>
  <w:style w:type="character" w:styleId="ae">
    <w:name w:val="Strong"/>
    <w:rPr>
      <w:b/>
      <w:bCs/>
      <w:w w:val="100"/>
      <w:position w:val="-1"/>
      <w:effect w:val="none"/>
      <w:vertAlign w:val="baseline"/>
      <w:cs w:val="0"/>
      <w:em w:val="none"/>
    </w:rPr>
  </w:style>
  <w:style w:type="paragraph" w:styleId="af">
    <w:name w:val="Subtitle"/>
    <w:basedOn w:val="a"/>
    <w:next w:val="a"/>
    <w:pPr>
      <w:keepNext/>
      <w:keepLines/>
      <w:spacing w:before="360" w:after="80"/>
    </w:pPr>
    <w:rPr>
      <w:rFonts w:ascii="Georgia" w:eastAsia="Georgia" w:hAnsi="Georgia" w:cs="Georgia"/>
      <w:i/>
      <w:color w:val="666666"/>
      <w:sz w:val="48"/>
      <w:szCs w:val="48"/>
    </w:rPr>
  </w:style>
  <w:style w:type="table" w:customStyle="1" w:styleId="af0">
    <w:basedOn w:val="TableNormal2"/>
    <w:tblPr>
      <w:tblStyleRowBandSize w:val="1"/>
      <w:tblStyleColBandSize w:val="1"/>
      <w:tblCellMar>
        <w:left w:w="177" w:type="dxa"/>
        <w:right w:w="177" w:type="dxa"/>
      </w:tblCellMar>
    </w:tblPr>
  </w:style>
  <w:style w:type="paragraph" w:styleId="af1">
    <w:name w:val="List Paragraph"/>
    <w:basedOn w:val="a"/>
    <w:uiPriority w:val="34"/>
    <w:qFormat/>
    <w:rsid w:val="00E61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urkovska@unfpa.org" TargetMode="External"/><Relationship Id="rId3" Type="http://schemas.openxmlformats.org/officeDocument/2006/relationships/numbering" Target="numbering.xml"/><Relationship Id="rId7" Type="http://schemas.openxmlformats.org/officeDocument/2006/relationships/hyperlink" Target="mailto:turkovska@unfp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ukraine.office@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kbmL1Q1u+k9VFsfEaC8zl6EVQ==">AMUW2mXMLpR8T9Yelw/xLejft5eRpMw9Jscu4zvnKV7LmoVTBjx+W6xTSYtwFPWRdrN2hCoiwlOO7F/Zty8GrfsbrlkFbqCLSseCa6szX1pW0+LVqsOylfc=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E10954-6DA2-43CD-835A-E5C1CCCEE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10108</Characters>
  <Application>Microsoft Office Word</Application>
  <DocSecurity>0</DocSecurity>
  <Lines>84</Lines>
  <Paragraphs>23</Paragraphs>
  <ScaleCrop>false</ScaleCrop>
  <HeadingPairs>
    <vt:vector size="6" baseType="variant">
      <vt:variant>
        <vt:lpstr>Название</vt:lpstr>
      </vt:variant>
      <vt:variant>
        <vt:i4>1</vt:i4>
      </vt:variant>
      <vt:variant>
        <vt:lpstr>Заголовки</vt:lpstr>
      </vt:variant>
      <vt:variant>
        <vt:i4>2</vt:i4>
      </vt:variant>
      <vt:variant>
        <vt:lpstr>Title</vt:lpstr>
      </vt:variant>
      <vt:variant>
        <vt:i4>1</vt:i4>
      </vt:variant>
    </vt:vector>
  </HeadingPairs>
  <TitlesOfParts>
    <vt:vector size="4" baseType="lpstr">
      <vt:lpstr/>
      <vt:lpstr/>
      <vt:lpstr/>
      <vt:lpstr/>
    </vt:vector>
  </TitlesOfParts>
  <Company/>
  <LinksUpToDate>false</LinksUpToDate>
  <CharactersWithSpaces>11858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Gimona</dc:creator>
  <cp:lastModifiedBy>Roksolana.Turkovska</cp:lastModifiedBy>
  <cp:revision>2</cp:revision>
  <dcterms:created xsi:type="dcterms:W3CDTF">2021-11-19T16:30:00Z</dcterms:created>
  <dcterms:modified xsi:type="dcterms:W3CDTF">2021-11-19T16:30:00Z</dcterms:modified>
</cp:coreProperties>
</file>