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5FA3" w14:textId="77777777"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14:paraId="5A28FA28" w14:textId="09958292" w:rsidR="003C1AF8" w:rsidRDefault="00E14163">
      <w:pPr>
        <w:tabs>
          <w:tab w:val="left" w:pos="5400"/>
        </w:tabs>
        <w:jc w:val="right"/>
      </w:pPr>
      <w:r>
        <w:t xml:space="preserve">Дата: </w:t>
      </w:r>
      <w:r w:rsidR="00D55EDD">
        <w:rPr>
          <w:lang w:val="ru-RU"/>
        </w:rPr>
        <w:t>12</w:t>
      </w:r>
      <w:r w:rsidR="00341C02">
        <w:t xml:space="preserve"> </w:t>
      </w:r>
      <w:r w:rsidR="00E438BA">
        <w:rPr>
          <w:lang w:val="ru-RU"/>
        </w:rPr>
        <w:t>грудня</w:t>
      </w:r>
      <w:r w:rsidR="00B65D89">
        <w:rPr>
          <w:lang w:val="en-US"/>
        </w:rPr>
        <w:t xml:space="preserve"> </w:t>
      </w:r>
      <w:r w:rsidR="0080146D">
        <w:t>2023</w:t>
      </w:r>
    </w:p>
    <w:p w14:paraId="7111B9CE" w14:textId="77777777"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14:paraId="5011F58B" w14:textId="77777777"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14:paraId="123DCC55" w14:textId="77777777" w:rsidR="00E438BA" w:rsidRDefault="00E438BA" w:rsidP="00E43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lang w:val="en-US"/>
        </w:rPr>
        <w:t>Massimo</w:t>
      </w:r>
      <w:r w:rsidRPr="00E438BA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Diana</w:t>
      </w:r>
      <w:r w:rsidRPr="00E438BA">
        <w:rPr>
          <w:b/>
          <w:color w:val="000000"/>
        </w:rPr>
        <w:t xml:space="preserve"> </w:t>
      </w:r>
      <w:r>
        <w:rPr>
          <w:b/>
          <w:color w:val="000000"/>
        </w:rPr>
        <w:t xml:space="preserve">/п. </w:t>
      </w:r>
      <w:r w:rsidRPr="00EE5B3F">
        <w:rPr>
          <w:b/>
        </w:rPr>
        <w:t>Массімо Діана </w:t>
      </w:r>
    </w:p>
    <w:p w14:paraId="67D485FC" w14:textId="77777777" w:rsidR="00E438BA" w:rsidRDefault="00E438BA" w:rsidP="00E438BA">
      <w:pPr>
        <w:spacing w:after="240" w:line="240" w:lineRule="auto"/>
        <w:rPr>
          <w:b/>
          <w:color w:val="000000"/>
        </w:rPr>
      </w:pPr>
      <w:r w:rsidRPr="00B23C97">
        <w:rPr>
          <w:b/>
          <w:color w:val="000000"/>
        </w:rPr>
        <w:t xml:space="preserve">UNFPA Representative / </w:t>
      </w:r>
      <w:r>
        <w:rPr>
          <w:b/>
          <w:color w:val="000000"/>
        </w:rPr>
        <w:t>Представник</w:t>
      </w:r>
      <w:r w:rsidRPr="00B23C97">
        <w:rPr>
          <w:b/>
          <w:color w:val="000000"/>
        </w:rPr>
        <w:t xml:space="preserve"> UNFPA, Фонду ООН у галузі народонаселення в Україні</w:t>
      </w:r>
    </w:p>
    <w:p w14:paraId="1BA4C439" w14:textId="77777777" w:rsidR="00025A45" w:rsidRPr="00B23C97" w:rsidRDefault="00025A45" w:rsidP="00E438BA">
      <w:pPr>
        <w:spacing w:after="240" w:line="240" w:lineRule="auto"/>
        <w:rPr>
          <w:b/>
          <w:color w:val="000000"/>
        </w:rPr>
      </w:pPr>
    </w:p>
    <w:p w14:paraId="4419ED45" w14:textId="77777777"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14:paraId="31B049AF" w14:textId="0D59C45E" w:rsidR="003C1AF8" w:rsidRPr="00D55EDD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 w:rsidR="00D55EDD" w:rsidRPr="00D55EDD">
        <w:rPr>
          <w:b/>
          <w:color w:val="000000"/>
          <w:lang w:val="en-US"/>
        </w:rPr>
        <w:t>62</w:t>
      </w:r>
    </w:p>
    <w:p w14:paraId="53077B57" w14:textId="77777777" w:rsidR="003C1AF8" w:rsidRDefault="003C1AF8"/>
    <w:p w14:paraId="61139E5B" w14:textId="77777777" w:rsidR="003C1AF8" w:rsidRPr="00E438B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14:paraId="48AEFC86" w14:textId="77777777"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14:paraId="7C1A76FE" w14:textId="62DA2579"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417D69" w:rsidRPr="00E438BA">
        <w:t xml:space="preserve">Закупівля </w:t>
      </w:r>
      <w:r w:rsidR="00245444" w:rsidRPr="0032365A">
        <w:rPr>
          <w:lang w:val="en-US"/>
        </w:rPr>
        <w:t>ICT</w:t>
      </w:r>
      <w:r w:rsidR="00245444" w:rsidRPr="00E438BA">
        <w:t xml:space="preserve"> </w:t>
      </w:r>
      <w:r w:rsidR="00245444">
        <w:t xml:space="preserve">обладнання для потреб офісу </w:t>
      </w:r>
      <w:r w:rsidR="00245444">
        <w:rPr>
          <w:lang w:val="en-US"/>
        </w:rPr>
        <w:t>UNFPA</w:t>
      </w:r>
      <w:r w:rsidR="00245444" w:rsidRPr="00E438BA">
        <w:t xml:space="preserve"> </w:t>
      </w:r>
      <w:r w:rsidR="00245444">
        <w:rPr>
          <w:lang w:val="en-US"/>
        </w:rPr>
        <w:t>Ukraine</w:t>
      </w:r>
      <w:r w:rsidR="0080146D" w:rsidRPr="0080146D">
        <w:t>»</w:t>
      </w:r>
      <w:r>
        <w:t xml:space="preserve"> відповідно до наведеної нижче специфікації:</w:t>
      </w:r>
    </w:p>
    <w:p w14:paraId="1E53F812" w14:textId="77777777" w:rsidR="00417D69" w:rsidRDefault="00417D69">
      <w:pPr>
        <w:spacing w:after="60"/>
        <w:jc w:val="both"/>
      </w:pP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14:paraId="683DAC16" w14:textId="77777777" w:rsidTr="00EB063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6607F84" w14:textId="77777777"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F08AE8B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</w:t>
            </w:r>
            <w:r w:rsidR="006650F6">
              <w:rPr>
                <w:color w:val="FFFFFF"/>
              </w:rPr>
              <w:t>-</w:t>
            </w:r>
            <w:r>
              <w:rPr>
                <w:color w:val="FFFFFF"/>
              </w:rPr>
              <w:t>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B1CB7D4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77C515BB" w14:textId="77777777"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EDF9F58" w14:textId="77777777"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3F0C8E9" w14:textId="77777777"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758799A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14:paraId="5507832E" w14:textId="77777777" w:rsidTr="00EB063E">
        <w:tblPrEx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DFD82" w14:textId="77777777" w:rsidR="003C1AF8" w:rsidRPr="009A7F50" w:rsidRDefault="009A7F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3306E" w14:textId="77777777" w:rsidR="003C1AF8" w:rsidRPr="0032365A" w:rsidRDefault="00542724" w:rsidP="009A17A2">
            <w:pPr>
              <w:spacing w:after="0" w:line="240" w:lineRule="auto"/>
              <w:ind w:left="-108" w:right="-108"/>
              <w:jc w:val="center"/>
            </w:pPr>
            <w:r w:rsidRPr="0032365A">
              <w:t>Ноутбук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699EEB" w14:textId="77777777" w:rsidR="000226AE" w:rsidRDefault="000226AE" w:rsidP="000226AE">
            <w:pPr>
              <w:spacing w:after="0" w:line="240" w:lineRule="auto"/>
            </w:pPr>
            <w:r>
              <w:t>Процесор - Core i5 або еквівалент</w:t>
            </w:r>
          </w:p>
          <w:p w14:paraId="7C02A271" w14:textId="77777777" w:rsidR="000226AE" w:rsidRDefault="000226AE" w:rsidP="000226AE">
            <w:pPr>
              <w:spacing w:after="0" w:line="240" w:lineRule="auto"/>
            </w:pPr>
            <w:r>
              <w:t>Пам'ять - 32 ГБ DDR4 UDIMM Non-ECC</w:t>
            </w:r>
          </w:p>
          <w:p w14:paraId="0C1EB9AC" w14:textId="77777777" w:rsidR="000226AE" w:rsidRDefault="000226AE" w:rsidP="000226AE">
            <w:pPr>
              <w:spacing w:after="0" w:line="240" w:lineRule="auto"/>
            </w:pPr>
            <w:r>
              <w:t>Операційна система - Windows Pro</w:t>
            </w:r>
          </w:p>
          <w:p w14:paraId="11C5AF43" w14:textId="77777777" w:rsidR="000226AE" w:rsidRDefault="000226AE" w:rsidP="000226AE">
            <w:pPr>
              <w:spacing w:after="0" w:line="240" w:lineRule="auto"/>
            </w:pPr>
            <w:r>
              <w:t>Версія операційної системи</w:t>
            </w:r>
          </w:p>
          <w:p w14:paraId="67E16485" w14:textId="77777777" w:rsidR="000226AE" w:rsidRDefault="000226AE" w:rsidP="000226AE">
            <w:pPr>
              <w:spacing w:after="0" w:line="240" w:lineRule="auto"/>
            </w:pPr>
            <w:r>
              <w:t>Windows 11 Pro</w:t>
            </w:r>
          </w:p>
          <w:p w14:paraId="4CDA3196" w14:textId="77777777" w:rsidR="000226AE" w:rsidRDefault="000226AE" w:rsidP="000226AE">
            <w:pPr>
              <w:spacing w:after="0" w:line="240" w:lineRule="auto"/>
            </w:pPr>
            <w:r>
              <w:t>Тип екрану - сенсорний або без сенсорного</w:t>
            </w:r>
          </w:p>
          <w:p w14:paraId="69AD1737" w14:textId="77777777" w:rsidR="000226AE" w:rsidRDefault="000226AE" w:rsidP="000226AE">
            <w:pPr>
              <w:spacing w:after="0" w:line="240" w:lineRule="auto"/>
            </w:pPr>
            <w:r>
              <w:t>Розмір екрана - не менше 13 дюймів</w:t>
            </w:r>
          </w:p>
          <w:p w14:paraId="30607D03" w14:textId="77777777" w:rsidR="000226AE" w:rsidRDefault="000226AE" w:rsidP="000226AE">
            <w:pPr>
              <w:spacing w:after="0" w:line="240" w:lineRule="auto"/>
            </w:pPr>
            <w:r>
              <w:t>Роздільна здатність - HD</w:t>
            </w:r>
          </w:p>
          <w:p w14:paraId="00A8A260" w14:textId="77777777" w:rsidR="000226AE" w:rsidRDefault="000226AE" w:rsidP="000226AE">
            <w:pPr>
              <w:spacing w:after="0" w:line="240" w:lineRule="auto"/>
            </w:pPr>
            <w:r>
              <w:t>Внутрішня пам'ять - 512 ГБ SSD</w:t>
            </w:r>
          </w:p>
          <w:p w14:paraId="6069FEE3" w14:textId="77777777" w:rsidR="000226AE" w:rsidRDefault="000226AE" w:rsidP="000226AE">
            <w:pPr>
              <w:spacing w:after="0" w:line="240" w:lineRule="auto"/>
            </w:pPr>
            <w:r>
              <w:t>Порти та підключення</w:t>
            </w:r>
          </w:p>
          <w:p w14:paraId="5D642547" w14:textId="77777777" w:rsidR="000226AE" w:rsidRDefault="000226AE" w:rsidP="000226AE">
            <w:pPr>
              <w:spacing w:after="0" w:line="240" w:lineRule="auto"/>
            </w:pPr>
            <w:r>
              <w:t>HDMI; Мінімум 2 USB 3.1; Мінімум 1 USB-C; Мінімум 1 пристрій для читання SD-карт</w:t>
            </w:r>
          </w:p>
          <w:p w14:paraId="65F6FFCA" w14:textId="77777777" w:rsidR="000226AE" w:rsidRDefault="000226AE" w:rsidP="000226AE">
            <w:pPr>
              <w:spacing w:after="0" w:line="240" w:lineRule="auto"/>
            </w:pPr>
            <w:r>
              <w:t>Підключення до Ethernet - гніздо RJ-45 або ключ USB-Ethernet</w:t>
            </w:r>
          </w:p>
          <w:p w14:paraId="4FBFD0E8" w14:textId="77777777" w:rsidR="000226AE" w:rsidRDefault="000226AE" w:rsidP="000226AE">
            <w:pPr>
              <w:spacing w:after="0" w:line="240" w:lineRule="auto"/>
            </w:pPr>
            <w:r>
              <w:t>Бездротове підключення - 802.11 a/b/g/n/ac/ax</w:t>
            </w:r>
          </w:p>
          <w:p w14:paraId="0CBE3D09" w14:textId="77777777" w:rsidR="000226AE" w:rsidRDefault="000226AE" w:rsidP="000226AE">
            <w:pPr>
              <w:spacing w:after="0" w:line="240" w:lineRule="auto"/>
            </w:pPr>
            <w:r>
              <w:t>Веб-камера - вбудована; Мінімальна роздільна здатність 720p</w:t>
            </w:r>
          </w:p>
          <w:p w14:paraId="79383332" w14:textId="77777777" w:rsidR="000226AE" w:rsidRDefault="000226AE" w:rsidP="000226AE">
            <w:pPr>
              <w:spacing w:after="0" w:line="240" w:lineRule="auto"/>
            </w:pPr>
            <w:r>
              <w:t>Аудіо - Вбудовані динаміки та мікрофон; роз'єм 3,5 мм</w:t>
            </w:r>
          </w:p>
          <w:p w14:paraId="7C10F674" w14:textId="77777777" w:rsidR="000226AE" w:rsidRDefault="000226AE" w:rsidP="000226AE">
            <w:pPr>
              <w:spacing w:after="0" w:line="240" w:lineRule="auto"/>
            </w:pPr>
            <w:r>
              <w:t>Bluetooth - версія 4.2 або новіша</w:t>
            </w:r>
          </w:p>
          <w:p w14:paraId="31CBB28F" w14:textId="77777777" w:rsidR="000226AE" w:rsidRDefault="000226AE" w:rsidP="000226AE">
            <w:pPr>
              <w:spacing w:after="0" w:line="240" w:lineRule="auto"/>
            </w:pPr>
            <w:r>
              <w:lastRenderedPageBreak/>
              <w:t>Акумулятор - Li-Ion; Мінімум 3 клітинки</w:t>
            </w:r>
          </w:p>
          <w:p w14:paraId="6E8DD982" w14:textId="77777777" w:rsidR="000226AE" w:rsidRDefault="000226AE" w:rsidP="000226AE">
            <w:pPr>
              <w:spacing w:after="0" w:line="240" w:lineRule="auto"/>
            </w:pPr>
            <w:r>
              <w:t>Джерело живлення</w:t>
            </w:r>
          </w:p>
          <w:p w14:paraId="52DE4DF5" w14:textId="77777777" w:rsidR="000226AE" w:rsidRDefault="000226AE" w:rsidP="000226AE">
            <w:pPr>
              <w:spacing w:after="0" w:line="240" w:lineRule="auto"/>
            </w:pPr>
            <w:r>
              <w:t>Універсальний, з автоматичним визначенням (100-240 Вольт/50-60 МГц)</w:t>
            </w:r>
          </w:p>
          <w:p w14:paraId="45081B84" w14:textId="3561820D" w:rsidR="0080146D" w:rsidRPr="00E438BA" w:rsidRDefault="000226AE" w:rsidP="000226AE">
            <w:pPr>
              <w:spacing w:after="0" w:line="240" w:lineRule="auto"/>
              <w:rPr>
                <w:lang w:val="ru-RU"/>
              </w:rPr>
            </w:pPr>
            <w:r>
              <w:t>Гарантія - 3 роки на місці, покриття випадкового пошкодження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147968" w14:textId="77777777"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14:paraId="23827E8C" w14:textId="77777777"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BCF8464" wp14:editId="0316AA1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366A61" w14:textId="77777777"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F8464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        <v:textbox inset="2.53958mm,2.53958mm,2.53958mm,2.53958mm">
                        <w:txbxContent>
                          <w:p w14:paraId="50366A61" w14:textId="77777777"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D8CAF" w14:textId="77777777"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B0EE2" w14:textId="3437FC63" w:rsidR="003C1AF8" w:rsidRPr="00E438BA" w:rsidRDefault="00E438BA" w:rsidP="001506C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6D0DD" w14:textId="77777777"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14:paraId="084532F7" w14:textId="77777777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4DD6" w14:textId="77777777" w:rsidR="00744C71" w:rsidRPr="00744C71" w:rsidRDefault="009A7F50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C136" w14:textId="77777777"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65A3" w14:textId="77777777" w:rsidR="000226AE" w:rsidRDefault="000226AE" w:rsidP="000226AE">
            <w:pPr>
              <w:spacing w:after="0" w:line="240" w:lineRule="auto"/>
            </w:pPr>
            <w:r>
              <w:t>Екран 27 дюймів</w:t>
            </w:r>
          </w:p>
          <w:p w14:paraId="7C89011E" w14:textId="77777777" w:rsidR="000226AE" w:rsidRDefault="000226AE" w:rsidP="000226AE">
            <w:pPr>
              <w:spacing w:after="0" w:line="240" w:lineRule="auto"/>
            </w:pPr>
            <w:r>
              <w:t>LCD матриця типу IPS</w:t>
            </w:r>
          </w:p>
          <w:p w14:paraId="2EFCD31C" w14:textId="77777777" w:rsidR="000226AE" w:rsidRDefault="000226AE" w:rsidP="000226AE">
            <w:pPr>
              <w:spacing w:after="0" w:line="240" w:lineRule="auto"/>
            </w:pPr>
            <w:r>
              <w:t>Роздільна здатність Full HD (2560*1440) або краще</w:t>
            </w:r>
          </w:p>
          <w:p w14:paraId="343BB2B6" w14:textId="77777777" w:rsidR="000226AE" w:rsidRDefault="000226AE" w:rsidP="000226AE">
            <w:pPr>
              <w:spacing w:after="0" w:line="240" w:lineRule="auto"/>
            </w:pPr>
            <w:r>
              <w:t>Інтерфейси HDMI, USB type-C, DisplayPort, USB</w:t>
            </w:r>
          </w:p>
          <w:p w14:paraId="7143CC47" w14:textId="77777777" w:rsidR="000226AE" w:rsidRDefault="000226AE" w:rsidP="000226AE">
            <w:pPr>
              <w:spacing w:after="0" w:line="240" w:lineRule="auto"/>
            </w:pPr>
            <w:r>
              <w:t>Ергономіка Регулювання висоти, нахилу, повороту</w:t>
            </w:r>
          </w:p>
          <w:p w14:paraId="4390D2ED" w14:textId="5100A9AA" w:rsidR="00744C71" w:rsidRPr="00E438BA" w:rsidRDefault="000226AE" w:rsidP="000226AE">
            <w:pPr>
              <w:spacing w:after="0" w:line="240" w:lineRule="auto"/>
              <w:rPr>
                <w:b/>
              </w:rPr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B055" w14:textId="77777777" w:rsidR="00744C71" w:rsidRPr="000226AE" w:rsidRDefault="00744C71" w:rsidP="00744C7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6560" w14:textId="77777777"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EC10" w14:textId="580F5432" w:rsidR="00744C71" w:rsidRPr="00E438BA" w:rsidRDefault="00E438BA" w:rsidP="00744C7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19FF" w14:textId="77777777"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14:paraId="0E838570" w14:textId="77777777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F3C9" w14:textId="77777777" w:rsidR="00744C71" w:rsidRPr="009A7F50" w:rsidRDefault="009A7F50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5FDA" w14:textId="17148E21" w:rsidR="00744C71" w:rsidRPr="00025A45" w:rsidRDefault="00025A45" w:rsidP="00744C71">
            <w:pPr>
              <w:spacing w:after="0" w:line="240" w:lineRule="auto"/>
              <w:ind w:left="-115" w:right="-115"/>
              <w:jc w:val="center"/>
            </w:pPr>
            <w:r>
              <w:t xml:space="preserve">Комп’ютерна ергономічна мишка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2E98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підключення - Бездротове</w:t>
            </w:r>
          </w:p>
          <w:p w14:paraId="26C07781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Формат миші - Ергономічний</w:t>
            </w:r>
          </w:p>
          <w:p w14:paraId="40B5542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сенсора мишки - Оптичний</w:t>
            </w:r>
          </w:p>
          <w:p w14:paraId="0769155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Кількість кнопок - мінімум 5</w:t>
            </w:r>
          </w:p>
          <w:p w14:paraId="65634EB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розроблений для великих офісів</w:t>
            </w:r>
          </w:p>
          <w:p w14:paraId="67473CBA" w14:textId="2DCEB1B8" w:rsidR="00744C71" w:rsidRPr="00E438BA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Гарантія - 1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86AF" w14:textId="77777777" w:rsidR="00744C71" w:rsidRPr="00E438BA" w:rsidRDefault="00744C71" w:rsidP="00744C7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BC9D" w14:textId="77777777"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D976" w14:textId="500732FC" w:rsidR="00744C71" w:rsidRPr="00195D82" w:rsidRDefault="00025A45" w:rsidP="00744C7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3240" w14:textId="77777777"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8678F" w14:paraId="57671DFB" w14:textId="77777777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D867" w14:textId="77777777" w:rsidR="00F8678F" w:rsidRPr="009A7F50" w:rsidRDefault="009A7F50" w:rsidP="00F867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C289" w14:textId="5DA1E17A" w:rsidR="00F8678F" w:rsidRPr="0032365A" w:rsidRDefault="00025A45" w:rsidP="00F8678F">
            <w:pPr>
              <w:spacing w:after="0" w:line="240" w:lineRule="auto"/>
              <w:ind w:left="-115" w:right="-115"/>
              <w:jc w:val="center"/>
            </w:pPr>
            <w:r w:rsidRPr="00025A45">
              <w:t>Комплект: бездротова клавіатура та мишка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3019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підключення Бездротове</w:t>
            </w:r>
          </w:p>
          <w:p w14:paraId="12B52493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Формат клавіатури Повний розмір</w:t>
            </w:r>
          </w:p>
          <w:p w14:paraId="4A48C7AF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мишки: оптична</w:t>
            </w:r>
          </w:p>
          <w:p w14:paraId="785CC23D" w14:textId="65216BD3" w:rsidR="00F8678F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90CE" w14:textId="77777777" w:rsidR="00F8678F" w:rsidRPr="00025A45" w:rsidRDefault="00F8678F" w:rsidP="00F8678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DF03" w14:textId="77777777" w:rsidR="00F8678F" w:rsidRPr="00094190" w:rsidRDefault="00F8678F" w:rsidP="00F8678F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6E6D" w14:textId="7E0DFA87" w:rsidR="00F8678F" w:rsidRPr="00195D82" w:rsidRDefault="00025A45" w:rsidP="00F867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1AA5" w14:textId="77777777" w:rsidR="00F8678F" w:rsidRPr="009A7F50" w:rsidRDefault="009A7F50" w:rsidP="00F867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75A69" w14:paraId="7E25268E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118F" w14:textId="77777777" w:rsidR="00D75A69" w:rsidRPr="009A7F50" w:rsidRDefault="00D75A69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5996" w14:textId="7F99DAE2" w:rsidR="00D75A69" w:rsidRP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Гарнітур</w:t>
            </w:r>
            <w: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71CF" w14:textId="77777777" w:rsidR="00025A45" w:rsidRDefault="00025A45" w:rsidP="00025A45">
            <w:pPr>
              <w:spacing w:after="0" w:line="240" w:lineRule="auto"/>
            </w:pPr>
            <w:r>
              <w:t>Підключення дротове, USB</w:t>
            </w:r>
          </w:p>
          <w:p w14:paraId="0543E18D" w14:textId="77777777" w:rsidR="00025A45" w:rsidRDefault="00025A45" w:rsidP="00025A45">
            <w:pPr>
              <w:spacing w:after="0" w:line="240" w:lineRule="auto"/>
            </w:pPr>
            <w:r>
              <w:t>Стилі носіння Пов'язка на голову, на вусі</w:t>
            </w:r>
          </w:p>
          <w:p w14:paraId="18309F6A" w14:textId="77777777" w:rsidR="00025A45" w:rsidRDefault="00025A45" w:rsidP="00025A45">
            <w:pPr>
              <w:spacing w:after="0" w:line="240" w:lineRule="auto"/>
            </w:pPr>
            <w:r>
              <w:t>Опір динаміка 32+/-4,8 Ом</w:t>
            </w:r>
          </w:p>
          <w:p w14:paraId="1C605A09" w14:textId="77777777" w:rsidR="00025A45" w:rsidRDefault="00025A45" w:rsidP="00025A45">
            <w:pPr>
              <w:spacing w:after="0" w:line="240" w:lineRule="auto"/>
            </w:pPr>
            <w:r>
              <w:t>Чутливість динаміка 93,6 дБ</w:t>
            </w:r>
          </w:p>
          <w:p w14:paraId="139B2E85" w14:textId="376ACB69" w:rsidR="00D75A69" w:rsidRDefault="00025A45" w:rsidP="00025A45">
            <w:pPr>
              <w:spacing w:after="0" w:line="240" w:lineRule="auto"/>
            </w:pPr>
            <w: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5ADD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B31E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4FC8" w14:textId="5DB43C5B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62E0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15CEEB1D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0719" w14:textId="77777777" w:rsidR="00D75A69" w:rsidRPr="009A7F50" w:rsidRDefault="00D75A69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517A" w14:textId="1CE814DE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Ергономіч</w:t>
            </w:r>
            <w:r>
              <w:t>-</w:t>
            </w:r>
            <w:r w:rsidRPr="00025A45">
              <w:t>ний килимок для миші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AA3" w14:textId="77777777" w:rsidR="00025A45" w:rsidRDefault="00025A45" w:rsidP="00025A45">
            <w:pPr>
              <w:spacing w:after="0" w:line="240" w:lineRule="auto"/>
            </w:pPr>
            <w:r>
              <w:t>Основний матеріал</w:t>
            </w:r>
          </w:p>
          <w:p w14:paraId="72C1B173" w14:textId="77777777" w:rsidR="00025A45" w:rsidRDefault="00025A45" w:rsidP="00025A45">
            <w:pPr>
              <w:spacing w:after="0" w:line="240" w:lineRule="auto"/>
            </w:pPr>
            <w:r>
              <w:t>Верхній шар: тканина з оптимальною текстурою</w:t>
            </w:r>
          </w:p>
          <w:p w14:paraId="0BC17880" w14:textId="77777777" w:rsidR="00025A45" w:rsidRDefault="00025A45" w:rsidP="00025A45">
            <w:pPr>
              <w:spacing w:after="0" w:line="240" w:lineRule="auto"/>
            </w:pPr>
            <w:r>
              <w:t>Основа: гума</w:t>
            </w:r>
          </w:p>
          <w:p w14:paraId="18387363" w14:textId="77777777" w:rsidR="00025A45" w:rsidRDefault="00025A45" w:rsidP="00025A45">
            <w:pPr>
              <w:spacing w:after="0" w:line="240" w:lineRule="auto"/>
            </w:pPr>
            <w:r>
              <w:t>Розміри 300 х 360 мм</w:t>
            </w:r>
          </w:p>
          <w:p w14:paraId="54F897DA" w14:textId="48AF48DF" w:rsidR="00D75A69" w:rsidRDefault="00025A45" w:rsidP="00025A45">
            <w:pPr>
              <w:spacing w:after="0" w:line="240" w:lineRule="auto"/>
            </w:pPr>
            <w:r>
              <w:t>Товщина 4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5A90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3462" w14:textId="41FD79AF" w:rsidR="00D75A69" w:rsidRDefault="00025A45" w:rsidP="00D75A69">
            <w:pPr>
              <w:spacing w:after="0" w:line="240" w:lineRule="auto"/>
              <w:ind w:left="-108" w:right="-108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66ED" w14:textId="7DD2E3AD" w:rsidR="00D75A69" w:rsidRDefault="00025A45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44F9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7726DB59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85C2" w14:textId="5C56FEB1" w:rsidR="00D75A69" w:rsidRDefault="00025A45" w:rsidP="00D75A6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83AD8" w14:textId="1061E7B6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Подовжувач живлення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DDC3" w14:textId="77777777" w:rsidR="00025A45" w:rsidRDefault="00025A45" w:rsidP="00025A45">
            <w:pPr>
              <w:spacing w:after="0" w:line="240" w:lineRule="auto"/>
            </w:pPr>
            <w:r>
              <w:t>Номінальний струм (А): 16</w:t>
            </w:r>
          </w:p>
          <w:p w14:paraId="52D2590E" w14:textId="77777777" w:rsidR="00025A45" w:rsidRDefault="00025A45" w:rsidP="00025A45">
            <w:pPr>
              <w:spacing w:after="0" w:line="240" w:lineRule="auto"/>
            </w:pPr>
            <w:r>
              <w:t>Кількість розеток: 5</w:t>
            </w:r>
          </w:p>
          <w:p w14:paraId="6AAF5868" w14:textId="77777777" w:rsidR="00025A45" w:rsidRDefault="00025A45" w:rsidP="00025A45">
            <w:pPr>
              <w:spacing w:after="0" w:line="240" w:lineRule="auto"/>
            </w:pPr>
            <w:r>
              <w:t>Обґрунтований: Так</w:t>
            </w:r>
          </w:p>
          <w:p w14:paraId="63DF8451" w14:textId="77777777" w:rsidR="00025A45" w:rsidRDefault="00025A45" w:rsidP="00025A45">
            <w:pPr>
              <w:spacing w:after="0" w:line="240" w:lineRule="auto"/>
            </w:pPr>
            <w:r>
              <w:t>Довжина: 5м</w:t>
            </w:r>
          </w:p>
          <w:p w14:paraId="10E3FEE8" w14:textId="77777777" w:rsidR="00025A45" w:rsidRDefault="00025A45" w:rsidP="00025A45">
            <w:pPr>
              <w:spacing w:after="0" w:line="240" w:lineRule="auto"/>
            </w:pPr>
            <w:r>
              <w:t>Матеріал корпусу: ABS пластик</w:t>
            </w:r>
          </w:p>
          <w:p w14:paraId="0A85AACF" w14:textId="15B6B7D7" w:rsidR="00D75A69" w:rsidRDefault="00025A45" w:rsidP="00025A45">
            <w:pPr>
              <w:spacing w:after="0" w:line="240" w:lineRule="auto"/>
            </w:pPr>
            <w:r>
              <w:t>Вхідна вилка: ЄВРО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6C24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699C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58EB" w14:textId="270331D9" w:rsidR="00D75A69" w:rsidRPr="003908AC" w:rsidRDefault="003908AC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01A4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46D3C2CE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DF64" w14:textId="0FE31D2E" w:rsidR="00D75A69" w:rsidRDefault="00025A45" w:rsidP="00D75A6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D51E" w14:textId="0B78AACE" w:rsidR="00D75A69" w:rsidRPr="00F8678F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Мобільн</w:t>
            </w:r>
            <w:r>
              <w:t>ий</w:t>
            </w:r>
            <w:r w:rsidRPr="00025A45">
              <w:t xml:space="preserve">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4813" w14:textId="77777777" w:rsidR="000226AE" w:rsidRDefault="000226AE" w:rsidP="000226AE">
            <w:pPr>
              <w:spacing w:after="0" w:line="240" w:lineRule="auto"/>
            </w:pPr>
            <w:r>
              <w:t>Дисплей 6.5", 1080 x 2400 пікселів</w:t>
            </w:r>
          </w:p>
          <w:p w14:paraId="5D6CC0AA" w14:textId="77777777" w:rsidR="000226AE" w:rsidRDefault="000226AE" w:rsidP="000226AE">
            <w:pPr>
              <w:spacing w:after="0" w:line="240" w:lineRule="auto"/>
            </w:pPr>
            <w:r>
              <w:t>Процесор 8 ядер, 2 ГГц</w:t>
            </w:r>
          </w:p>
          <w:p w14:paraId="302829B4" w14:textId="77777777" w:rsidR="000226AE" w:rsidRDefault="000226AE" w:rsidP="000226AE">
            <w:pPr>
              <w:spacing w:after="0" w:line="240" w:lineRule="auto"/>
            </w:pPr>
            <w:r>
              <w:t>Оперативна пам'ять 4 Гб</w:t>
            </w:r>
          </w:p>
          <w:p w14:paraId="0FD4A01B" w14:textId="77777777" w:rsidR="000226AE" w:rsidRDefault="000226AE" w:rsidP="000226AE">
            <w:pPr>
              <w:spacing w:after="0" w:line="240" w:lineRule="auto"/>
            </w:pPr>
            <w:r>
              <w:lastRenderedPageBreak/>
              <w:t>Вбудована пам'ять 128 Гб</w:t>
            </w:r>
          </w:p>
          <w:p w14:paraId="6B0EEABF" w14:textId="77777777" w:rsidR="000226AE" w:rsidRDefault="000226AE" w:rsidP="000226AE">
            <w:pPr>
              <w:spacing w:after="0" w:line="240" w:lineRule="auto"/>
            </w:pPr>
            <w:r>
              <w:t>Операційна система Android 11</w:t>
            </w:r>
          </w:p>
          <w:p w14:paraId="36509168" w14:textId="77777777" w:rsidR="000226AE" w:rsidRDefault="000226AE" w:rsidP="000226AE">
            <w:pPr>
              <w:spacing w:after="0" w:line="240" w:lineRule="auto"/>
            </w:pPr>
            <w:r>
              <w:t>Ємність акумулятора 5000 мАг</w:t>
            </w:r>
          </w:p>
          <w:p w14:paraId="11C80742" w14:textId="4BE70B89" w:rsidR="00D75A69" w:rsidRDefault="000226AE" w:rsidP="000226AE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2EE4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B859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E7CD" w14:textId="5DE9BD78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8986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6F071558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2C9B" w14:textId="2329785A" w:rsidR="00D75A69" w:rsidRDefault="00025A45" w:rsidP="00D75A6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12FF" w14:textId="6EFB4962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>
              <w:t>Смука для ноутбука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A0E4" w14:textId="77777777" w:rsidR="00025A45" w:rsidRDefault="00025A45" w:rsidP="00025A45">
            <w:pPr>
              <w:spacing w:after="0" w:line="240" w:lineRule="auto"/>
            </w:pPr>
            <w:r>
              <w:t>Діагональ ноутбука: 14-15'</w:t>
            </w:r>
          </w:p>
          <w:p w14:paraId="7CB2F72F" w14:textId="77777777" w:rsidR="00025A45" w:rsidRDefault="00025A45" w:rsidP="00025A45">
            <w:pPr>
              <w:spacing w:after="0" w:line="240" w:lineRule="auto"/>
            </w:pPr>
            <w:r>
              <w:t>Метод закриття: Блискавка</w:t>
            </w:r>
          </w:p>
          <w:p w14:paraId="78C1B44B" w14:textId="77777777" w:rsidR="00025A45" w:rsidRDefault="00025A45" w:rsidP="00025A45">
            <w:pPr>
              <w:spacing w:after="0" w:line="240" w:lineRule="auto"/>
            </w:pPr>
            <w:r>
              <w:t>Тип: Сумка</w:t>
            </w:r>
          </w:p>
          <w:p w14:paraId="3A2E9982" w14:textId="77777777" w:rsidR="00025A45" w:rsidRDefault="00025A45" w:rsidP="00025A45">
            <w:pPr>
              <w:spacing w:after="0" w:line="240" w:lineRule="auto"/>
            </w:pPr>
            <w:r>
              <w:t>Матеріал: поліестер</w:t>
            </w:r>
          </w:p>
          <w:p w14:paraId="0A37521B" w14:textId="28C3D83C" w:rsidR="00D75A69" w:rsidRDefault="00025A45" w:rsidP="00025A45">
            <w:pPr>
              <w:spacing w:after="0" w:line="240" w:lineRule="auto"/>
            </w:pPr>
            <w:r>
              <w:t>водонепроникний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9CD8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C56F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31A8" w14:textId="2DB0A83E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B719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025A45" w14:paraId="300B99EB" w14:textId="77777777" w:rsidTr="00F251AC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7CB2" w14:textId="7DCF3106" w:rsidR="00025A45" w:rsidRPr="00025A45" w:rsidRDefault="00025A45" w:rsidP="00025A45">
            <w:pPr>
              <w:spacing w:after="0" w:line="240" w:lineRule="auto"/>
              <w:jc w:val="center"/>
              <w:rPr>
                <w:lang w:val="ru-RU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80E4" w14:textId="77777777" w:rsidR="00025A45" w:rsidRDefault="00025A45" w:rsidP="00025A45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AEEE" w14:textId="77777777" w:rsidR="00025A45" w:rsidRDefault="00025A45" w:rsidP="00025A45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9CEE" w14:textId="77777777" w:rsidR="00025A45" w:rsidRPr="001B5342" w:rsidRDefault="00025A45" w:rsidP="00025A4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2058" w14:textId="77777777" w:rsidR="00025A45" w:rsidRDefault="00025A45" w:rsidP="00025A45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8731" w14:textId="77777777" w:rsidR="00025A45" w:rsidRDefault="00025A45" w:rsidP="00025A45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37A0" w14:textId="77777777" w:rsidR="00025A45" w:rsidRDefault="00025A45" w:rsidP="00025A45">
            <w:pPr>
              <w:spacing w:after="0" w:line="240" w:lineRule="auto"/>
              <w:ind w:left="-115" w:right="-115"/>
              <w:jc w:val="center"/>
            </w:pPr>
          </w:p>
        </w:tc>
      </w:tr>
    </w:tbl>
    <w:p w14:paraId="0972A439" w14:textId="076E49B5" w:rsidR="003C1AF8" w:rsidRPr="00E438BA" w:rsidRDefault="00341C02">
      <w:pPr>
        <w:jc w:val="both"/>
      </w:pPr>
      <w:r>
        <w:t xml:space="preserve">Доставка </w:t>
      </w:r>
      <w:r w:rsidR="00B217BD">
        <w:t>здійснюється</w:t>
      </w:r>
      <w:r>
        <w:t xml:space="preserve">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  <w:r w:rsidR="00B217BD">
        <w:t xml:space="preserve"> </w:t>
      </w:r>
      <w:r w:rsidR="00CB391E">
        <w:t>м.Київ</w:t>
      </w:r>
      <w:r w:rsidR="00E14163">
        <w:t xml:space="preserve"> </w:t>
      </w:r>
    </w:p>
    <w:p w14:paraId="0E12E72B" w14:textId="77777777"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14:paraId="063B028A" w14:textId="77777777"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14:paraId="20DD182A" w14:textId="77777777" w:rsidR="003C1AF8" w:rsidRDefault="003C1AF8">
      <w:pPr>
        <w:spacing w:after="0" w:line="240" w:lineRule="auto"/>
        <w:jc w:val="both"/>
      </w:pPr>
    </w:p>
    <w:p w14:paraId="5CF4C74B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14:paraId="358E5F63" w14:textId="77777777" w:rsidR="003C1AF8" w:rsidRDefault="003C1AF8">
      <w:pPr>
        <w:spacing w:after="0" w:line="240" w:lineRule="auto"/>
        <w:jc w:val="both"/>
      </w:pPr>
    </w:p>
    <w:p w14:paraId="31EE3C52" w14:textId="77777777"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14:paraId="1B8CEA16" w14:textId="77777777" w:rsidR="003C1AF8" w:rsidRDefault="003C1AF8">
      <w:pPr>
        <w:spacing w:after="0" w:line="240" w:lineRule="auto"/>
        <w:jc w:val="both"/>
      </w:pPr>
    </w:p>
    <w:p w14:paraId="07FD0EBC" w14:textId="7C00802C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0226AE" w:rsidRPr="000226AE">
        <w:rPr>
          <w:b/>
          <w:bCs/>
        </w:rPr>
        <w:t>вівторок</w:t>
      </w:r>
      <w:r>
        <w:rPr>
          <w:b/>
          <w:color w:val="000000"/>
        </w:rPr>
        <w:t>,</w:t>
      </w:r>
      <w:r w:rsidR="00E14163">
        <w:rPr>
          <w:b/>
          <w:color w:val="000000"/>
        </w:rPr>
        <w:t xml:space="preserve"> </w:t>
      </w:r>
      <w:r w:rsidR="000226AE" w:rsidRPr="000226AE">
        <w:rPr>
          <w:b/>
          <w:color w:val="000000"/>
          <w:lang w:val="ru-RU"/>
        </w:rPr>
        <w:t>1</w:t>
      </w:r>
      <w:r w:rsidR="000226AE">
        <w:rPr>
          <w:b/>
          <w:color w:val="000000"/>
          <w:lang w:val="ru-RU"/>
        </w:rPr>
        <w:t>9</w:t>
      </w:r>
      <w:r w:rsidR="006409DA">
        <w:rPr>
          <w:b/>
          <w:color w:val="000000"/>
        </w:rPr>
        <w:t xml:space="preserve"> </w:t>
      </w:r>
      <w:r w:rsidR="00025A45">
        <w:rPr>
          <w:b/>
          <w:color w:val="000000"/>
        </w:rPr>
        <w:t>грудня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C85383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14:paraId="122AF361" w14:textId="77777777"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 w14:paraId="31AEB1FB" w14:textId="77777777" w:rsidTr="00FD43D6">
        <w:trPr>
          <w:trHeight w:val="627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782BE" w14:textId="77777777"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76D5" w14:textId="2CAC78A9" w:rsidR="003C1AF8" w:rsidRPr="006409DA" w:rsidRDefault="00025A45" w:rsidP="00195D82">
            <w:pPr>
              <w:rPr>
                <w:b/>
                <w:lang w:val="en-US"/>
              </w:rPr>
            </w:pPr>
            <w:r>
              <w:rPr>
                <w:b/>
              </w:rPr>
              <w:t>Олена Синча</w:t>
            </w:r>
          </w:p>
        </w:tc>
      </w:tr>
      <w:tr w:rsidR="003C1AF8" w14:paraId="6EFBE3A3" w14:textId="77777777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EB38B" w14:textId="77777777"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84F" w14:textId="351AACDF" w:rsidR="003C1AF8" w:rsidRPr="003F1A2A" w:rsidRDefault="00025A45">
            <w:pPr>
              <w:rPr>
                <w:b/>
              </w:rPr>
            </w:pPr>
            <w:r>
              <w:rPr>
                <w:b/>
                <w:lang w:val="en-US"/>
              </w:rPr>
              <w:t>syncha</w:t>
            </w:r>
            <w:r w:rsidR="006409DA">
              <w:rPr>
                <w:b/>
              </w:rPr>
              <w:t>@unfpa.org</w:t>
            </w:r>
          </w:p>
        </w:tc>
      </w:tr>
    </w:tbl>
    <w:p w14:paraId="5058D31C" w14:textId="77777777"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14:paraId="7AA7B7F4" w14:textId="77777777" w:rsidR="003C1AF8" w:rsidRDefault="00341C02">
      <w:pPr>
        <w:rPr>
          <w:b/>
        </w:rPr>
      </w:pPr>
      <w:r>
        <w:rPr>
          <w:b/>
        </w:rPr>
        <w:t>I. Зміст пропозицій</w:t>
      </w:r>
    </w:p>
    <w:p w14:paraId="0F49033B" w14:textId="77777777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14:paraId="7F0D9E02" w14:textId="77777777"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4873C00B" w14:textId="77777777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14:paraId="1B9B2FA7" w14:textId="77777777" w:rsidR="003C1AF8" w:rsidRDefault="003C1AF8">
      <w:pPr>
        <w:spacing w:after="0"/>
      </w:pPr>
    </w:p>
    <w:p w14:paraId="2B7FE25A" w14:textId="77777777"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14:paraId="641B5183" w14:textId="77777777" w:rsidR="00E54EB1" w:rsidRDefault="00E54EB1" w:rsidP="008D24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712FEFC" w14:textId="77777777"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14:paraId="7ECCCEB4" w14:textId="7EC0FE0F"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</w:t>
      </w:r>
      <w:r>
        <w:lastRenderedPageBreak/>
        <w:t xml:space="preserve">особі лише на зазначену захищену адресу електронної пошти не пізніше: </w:t>
      </w:r>
      <w:r w:rsidR="000226AE">
        <w:rPr>
          <w:b/>
          <w:color w:val="000000"/>
        </w:rPr>
        <w:t>четвер</w:t>
      </w:r>
      <w:r>
        <w:rPr>
          <w:b/>
          <w:color w:val="000000"/>
        </w:rPr>
        <w:t xml:space="preserve">, </w:t>
      </w:r>
      <w:r w:rsidR="000226AE">
        <w:rPr>
          <w:b/>
          <w:color w:val="000000"/>
        </w:rPr>
        <w:t>21</w:t>
      </w:r>
      <w:r w:rsidR="00D75A69">
        <w:rPr>
          <w:b/>
          <w:color w:val="000000"/>
        </w:rPr>
        <w:t xml:space="preserve"> </w:t>
      </w:r>
      <w:r w:rsidR="00025A45">
        <w:rPr>
          <w:b/>
          <w:color w:val="000000"/>
        </w:rPr>
        <w:t>грудня</w:t>
      </w:r>
      <w:r w:rsidR="00260124">
        <w:rPr>
          <w:b/>
          <w:color w:val="000000"/>
        </w:rPr>
        <w:t>, 2023</w:t>
      </w:r>
      <w:r w:rsidR="009A7B8A">
        <w:rPr>
          <w:b/>
          <w:color w:val="000000"/>
        </w:rPr>
        <w:t>, 1</w:t>
      </w:r>
      <w:r w:rsidR="004571E5">
        <w:rPr>
          <w:b/>
          <w:color w:val="000000"/>
        </w:rPr>
        <w:t>7</w:t>
      </w:r>
      <w:r>
        <w:rPr>
          <w:b/>
          <w:color w:val="000000"/>
        </w:rPr>
        <w:t>:00 год</w:t>
      </w:r>
      <w:r w:rsidR="00EB063E">
        <w:rPr>
          <w:b/>
          <w:color w:val="000000"/>
        </w:rPr>
        <w:t xml:space="preserve"> </w:t>
      </w:r>
      <w:r>
        <w:rPr>
          <w:b/>
          <w:color w:val="000000"/>
        </w:rPr>
        <w:t>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 w14:paraId="622B4C4F" w14:textId="77777777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2C255" w14:textId="77777777"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602EE" w14:textId="77777777"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 w14:paraId="67E73105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B6976" w14:textId="77777777"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9A9E2" w14:textId="77777777"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14:paraId="2B507891" w14:textId="77777777"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14:paraId="492E0DCB" w14:textId="6F6CD69C"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 xml:space="preserve">RFQ Nº </w:t>
      </w:r>
      <w:r w:rsidR="00FD43D6">
        <w:rPr>
          <w:b/>
          <w:color w:val="000000"/>
        </w:rPr>
        <w:t>UNFPA/UKR/RFQ/23/</w:t>
      </w:r>
      <w:r w:rsidR="000226AE">
        <w:rPr>
          <w:b/>
          <w:color w:val="000000"/>
        </w:rPr>
        <w:t>62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14:paraId="06D40AA7" w14:textId="77777777"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14:paraId="0FA95D59" w14:textId="77777777" w:rsidR="003C1AF8" w:rsidRDefault="003C1AF8">
      <w:pPr>
        <w:spacing w:after="0" w:line="240" w:lineRule="auto"/>
        <w:jc w:val="both"/>
        <w:rPr>
          <w:b/>
        </w:rPr>
      </w:pPr>
    </w:p>
    <w:p w14:paraId="6F6EC70B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14:paraId="07D6D52E" w14:textId="1D719C41"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25A45">
        <w:rPr>
          <w:color w:val="000000"/>
        </w:rPr>
        <w:t>29</w:t>
      </w:r>
      <w:r>
        <w:rPr>
          <w:color w:val="000000"/>
        </w:rPr>
        <w:t xml:space="preserve"> </w:t>
      </w:r>
      <w:r w:rsidR="00025A45">
        <w:rPr>
          <w:color w:val="000000"/>
        </w:rPr>
        <w:t>лютого</w:t>
      </w:r>
      <w:r w:rsidR="00ED633B">
        <w:rPr>
          <w:color w:val="000000"/>
        </w:rPr>
        <w:t xml:space="preserve"> 202</w:t>
      </w:r>
      <w:r w:rsidR="00025A45">
        <w:rPr>
          <w:color w:val="000000"/>
        </w:rPr>
        <w:t>4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14:paraId="57BCF3A4" w14:textId="77777777" w:rsidR="003C1AF8" w:rsidRDefault="003C1AF8">
      <w:pPr>
        <w:spacing w:after="0"/>
        <w:jc w:val="both"/>
      </w:pPr>
    </w:p>
    <w:p w14:paraId="06DBC1AF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14:paraId="37A207A7" w14:textId="77777777"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5E0C6A88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14:paraId="1D5FCD95" w14:textId="77777777"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9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14:paraId="7F5E8F5D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10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14:paraId="69AED280" w14:textId="77777777"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1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14:paraId="72CE721B" w14:textId="77777777"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</w:t>
      </w:r>
      <w:r>
        <w:lastRenderedPageBreak/>
        <w:t xml:space="preserve">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14:paraId="74FC6E71" w14:textId="77777777"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2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14:paraId="1325CFFA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14:paraId="2CA86517" w14:textId="77777777"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3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14:paraId="533AF0D5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14:paraId="1735EE2D" w14:textId="77777777"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r w:rsidR="00BF3387">
        <w:rPr>
          <w:lang w:val="en-US"/>
        </w:rPr>
        <w:t>zubchenko</w:t>
      </w:r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4">
        <w:r>
          <w:rPr>
            <w:color w:val="003366"/>
            <w:u w:val="single"/>
          </w:rPr>
          <w:t>procurement@unfpa.org</w:t>
        </w:r>
      </w:hyperlink>
      <w:r>
        <w:t>.</w:t>
      </w:r>
    </w:p>
    <w:p w14:paraId="0AFF032D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14:paraId="74298C1E" w14:textId="77777777"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14:paraId="78F152A1" w14:textId="77777777"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 w14:paraId="61271E86" w14:textId="77777777">
        <w:trPr>
          <w:jc w:val="center"/>
        </w:trPr>
        <w:tc>
          <w:tcPr>
            <w:tcW w:w="562" w:type="dxa"/>
          </w:tcPr>
          <w:p w14:paraId="5CFBF4E1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48EE4876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14:paraId="785E9FD8" w14:textId="77777777" w:rsidR="003C1AF8" w:rsidRDefault="003C1AF8">
            <w:pPr>
              <w:spacing w:after="0" w:line="240" w:lineRule="auto"/>
              <w:jc w:val="center"/>
            </w:pPr>
          </w:p>
        </w:tc>
      </w:tr>
      <w:tr w:rsidR="003C1AF8" w14:paraId="483BFAD3" w14:textId="77777777">
        <w:trPr>
          <w:jc w:val="center"/>
        </w:trPr>
        <w:tc>
          <w:tcPr>
            <w:tcW w:w="562" w:type="dxa"/>
          </w:tcPr>
          <w:p w14:paraId="34CADAAA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65337962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14:paraId="02C48557" w14:textId="77777777" w:rsidR="003C1AF8" w:rsidRDefault="00341C02" w:rsidP="006650F6">
            <w:pPr>
              <w:spacing w:after="0" w:line="240" w:lineRule="auto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 w14:paraId="1F1F0772" w14:textId="77777777">
        <w:trPr>
          <w:jc w:val="center"/>
        </w:trPr>
        <w:tc>
          <w:tcPr>
            <w:tcW w:w="562" w:type="dxa"/>
          </w:tcPr>
          <w:p w14:paraId="40124E8A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195BE578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14:paraId="757EDE31" w14:textId="69BFDB8F" w:rsidR="003C1AF8" w:rsidRPr="005F4681" w:rsidRDefault="006409D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</w:t>
            </w:r>
            <w:r w:rsidR="000226AE">
              <w:rPr>
                <w:b/>
                <w:color w:val="000000"/>
              </w:rPr>
              <w:t>62</w:t>
            </w:r>
          </w:p>
        </w:tc>
      </w:tr>
      <w:tr w:rsidR="003C1AF8" w14:paraId="1FEA654A" w14:textId="77777777">
        <w:trPr>
          <w:jc w:val="center"/>
        </w:trPr>
        <w:tc>
          <w:tcPr>
            <w:tcW w:w="562" w:type="dxa"/>
          </w:tcPr>
          <w:p w14:paraId="046D6DD2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751AB6C0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14:paraId="1CE1DD10" w14:textId="77777777"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 w14:paraId="60170988" w14:textId="77777777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14:paraId="7E3C7D61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14:paraId="71A2E699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14:paraId="11757F3C" w14:textId="77777777"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14:paraId="639ED9D1" w14:textId="77777777"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14:paraId="6ED581BE" w14:textId="77777777" w:rsidR="003C1AF8" w:rsidRPr="00E438BA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14:paraId="22F80505" w14:textId="77777777" w:rsidTr="00007290">
        <w:trPr>
          <w:trHeight w:val="763"/>
        </w:trPr>
        <w:tc>
          <w:tcPr>
            <w:tcW w:w="759" w:type="dxa"/>
            <w:vAlign w:val="center"/>
          </w:tcPr>
          <w:p w14:paraId="0FDF3FFA" w14:textId="77777777"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14:paraId="02A6074E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14:paraId="3672F8A1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14:paraId="73B9024B" w14:textId="77777777"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14:paraId="1B99E4DE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14:paraId="79EDE898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37010827" w14:textId="77777777"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3DA2A09A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3A2DED" w14:paraId="555AF432" w14:textId="77777777" w:rsidTr="00234459">
        <w:trPr>
          <w:trHeight w:val="739"/>
        </w:trPr>
        <w:tc>
          <w:tcPr>
            <w:tcW w:w="759" w:type="dxa"/>
            <w:vAlign w:val="center"/>
          </w:tcPr>
          <w:p w14:paraId="1694E0CE" w14:textId="77777777"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6881009F" w14:textId="77777777" w:rsidR="003A2DED" w:rsidRPr="00094190" w:rsidRDefault="003A2DED" w:rsidP="009D418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01C009" w14:textId="77777777"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30DECE" w14:textId="77777777"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BE04DE5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719017D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14:paraId="6ABF5CBB" w14:textId="77777777" w:rsidTr="00234459">
        <w:trPr>
          <w:trHeight w:val="694"/>
        </w:trPr>
        <w:tc>
          <w:tcPr>
            <w:tcW w:w="759" w:type="dxa"/>
            <w:vAlign w:val="center"/>
          </w:tcPr>
          <w:p w14:paraId="1D570F90" w14:textId="77777777"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2FFCC248" w14:textId="77777777" w:rsidR="003A2DED" w:rsidRPr="000E5045" w:rsidRDefault="003A2DED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14:paraId="0EB61C20" w14:textId="77777777"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61B48A" w14:textId="77777777"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6E5805D2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1E43483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70E1A232" w14:textId="77777777" w:rsidTr="0013025F">
        <w:trPr>
          <w:trHeight w:val="739"/>
        </w:trPr>
        <w:tc>
          <w:tcPr>
            <w:tcW w:w="759" w:type="dxa"/>
            <w:vAlign w:val="center"/>
          </w:tcPr>
          <w:p w14:paraId="4A55554A" w14:textId="77777777" w:rsidR="00606A64" w:rsidRDefault="00606A64" w:rsidP="00606A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46B5CC2D" w14:textId="77777777" w:rsidR="00E73AF4" w:rsidRPr="00094190" w:rsidRDefault="00E73AF4" w:rsidP="009D418F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66C173" w14:textId="77777777" w:rsidR="00E73AF4" w:rsidRPr="00094190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C183038" w14:textId="77777777" w:rsidR="00E73AF4" w:rsidRPr="00094190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56FEAD35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347B46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76A323B8" w14:textId="77777777" w:rsidTr="0013025F">
        <w:trPr>
          <w:trHeight w:val="849"/>
        </w:trPr>
        <w:tc>
          <w:tcPr>
            <w:tcW w:w="759" w:type="dxa"/>
            <w:vAlign w:val="center"/>
          </w:tcPr>
          <w:p w14:paraId="1B1847E3" w14:textId="77777777"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0D8A9347" w14:textId="77777777"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40CD08" w14:textId="77777777"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09067544" w14:textId="77777777" w:rsidR="00E73AF4" w:rsidRPr="00ED633B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57CD5E82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CAF92E4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5295EFF8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6B9E4373" w14:textId="77777777"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318E8B7D" w14:textId="77777777" w:rsidR="00E73AF4" w:rsidRPr="00E85CE6" w:rsidRDefault="00E73AF4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8A05DD" w14:textId="77777777"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E0FC5C0" w14:textId="77777777"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3E22481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43579F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A69" w14:paraId="0C5C697D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5D23F01B" w14:textId="77777777" w:rsidR="00D75A69" w:rsidRDefault="00D75A69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46BF350B" w14:textId="77777777" w:rsidR="00D75A69" w:rsidRPr="00E85CE6" w:rsidRDefault="00D75A69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62BCCA" w14:textId="77777777" w:rsidR="00D75A69" w:rsidRDefault="00D75A69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6F16A66" w14:textId="77777777" w:rsidR="00D75A69" w:rsidRDefault="00D75A69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68B9CCE" w14:textId="77777777" w:rsidR="00D75A69" w:rsidRDefault="00D75A69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50B44D5" w14:textId="77777777" w:rsidR="00D75A69" w:rsidRDefault="00D75A69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5BCB2D69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7A1B9AD0" w14:textId="1C9A0637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00F26E9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546A2C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179F64C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2EEA930F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8186AEE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15B35A1F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5B5CF0A1" w14:textId="5BED2320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78837AB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CC532A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C9F6D5E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4B337355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FDC68F6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55969394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43DCB90A" w14:textId="336976D7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05B399F1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2555D7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15B0826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4C547AFC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FFF0603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17ABFE37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28EEA5CF" w14:textId="6D6C9AD2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665BBCDB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690269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1F8E62B8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346DE7E3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765CE65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516A0FEB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556BCAC6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234EFC14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14:paraId="28293F31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6B2DE415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6CF19165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0A63C688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14:paraId="30C4062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2C668202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5A93DD82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75A5A302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14:paraId="6E6B7B4F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3964763" w14:textId="77777777" w:rsidR="0088271C" w:rsidRDefault="0088271C" w:rsidP="0088271C">
      <w:pPr>
        <w:jc w:val="both"/>
        <w:rPr>
          <w:sz w:val="24"/>
          <w:szCs w:val="24"/>
        </w:rPr>
      </w:pPr>
      <w:r>
        <w:rPr>
          <w:b/>
          <w:color w:val="000000"/>
        </w:rPr>
        <w:lastRenderedPageBreak/>
        <w:t>Претендент може запропонувати свої пропозиції, що відповідають бажаному опису.</w:t>
      </w:r>
    </w:p>
    <w:p w14:paraId="673D97CD" w14:textId="77777777" w:rsidR="0088271C" w:rsidRDefault="0088271C" w:rsidP="008827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Учасники тендеру можуть подавати комерційну пропозицію на один або на всі лоти товарів. </w:t>
      </w:r>
    </w:p>
    <w:p w14:paraId="22EDE20C" w14:textId="77777777" w:rsidR="0088271C" w:rsidRDefault="0088271C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17885CA6" wp14:editId="6556FE6F">
                <wp:simplePos x="0" y="0"/>
                <wp:positionH relativeFrom="margin">
                  <wp:posOffset>-635</wp:posOffset>
                </wp:positionH>
                <wp:positionV relativeFrom="paragraph">
                  <wp:posOffset>10617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A9EB2D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14:paraId="68AFFA55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22378AE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5D970F8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1CFB80D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14:paraId="78D4C261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320684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5CA6" id="Rectangle 1060" o:spid="_x0000_s1027" style="position:absolute;left:0;text-align:left;margin-left:-.05pt;margin-top:.85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3A9EB2D" w14:textId="77777777"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14:paraId="68AFFA55" w14:textId="77777777"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14:paraId="422378AE" w14:textId="77777777"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14:paraId="65D970F8" w14:textId="77777777"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14:paraId="61CFB80D" w14:textId="77777777" w:rsidR="001B5342" w:rsidRDefault="001B5342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i/>
                          <w:color w:val="000000"/>
                        </w:rPr>
                        <w:t>гошщ</w:t>
                      </w:r>
                      <w:proofErr w:type="spellEnd"/>
                    </w:p>
                    <w:p w14:paraId="78D4C261" w14:textId="77777777"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14:paraId="15320684" w14:textId="77777777"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5A3E1" w14:textId="77777777"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14:paraId="426CA716" w14:textId="505AFD63"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</w:t>
      </w:r>
      <w:r w:rsidR="000226AE">
        <w:rPr>
          <w:b/>
        </w:rPr>
        <w:t>62</w:t>
      </w:r>
      <w:r>
        <w:rPr>
          <w:b/>
        </w:rPr>
        <w:t xml:space="preserve"> </w:t>
      </w:r>
      <w:r w:rsidRPr="001114CF">
        <w:rPr>
          <w:b/>
        </w:rPr>
        <w:t>[</w:t>
      </w:r>
      <w:r w:rsidR="0088271C" w:rsidRPr="00E438BA">
        <w:rPr>
          <w:b/>
        </w:rPr>
        <w:t xml:space="preserve">Закупівля </w:t>
      </w:r>
      <w:r w:rsidR="0088271C" w:rsidRPr="0088271C">
        <w:rPr>
          <w:b/>
          <w:lang w:val="en-US"/>
        </w:rPr>
        <w:t>ICT</w:t>
      </w:r>
      <w:r w:rsidR="0088271C" w:rsidRPr="00E438BA">
        <w:rPr>
          <w:b/>
        </w:rPr>
        <w:t xml:space="preserve"> обладнання для потреб офісу </w:t>
      </w:r>
      <w:r w:rsidR="0088271C" w:rsidRPr="0088271C">
        <w:rPr>
          <w:b/>
          <w:lang w:val="en-US"/>
        </w:rPr>
        <w:t>UNFPA</w:t>
      </w:r>
      <w:r w:rsidR="0088271C" w:rsidRPr="00E438BA">
        <w:rPr>
          <w:b/>
        </w:rPr>
        <w:t xml:space="preserve"> </w:t>
      </w:r>
      <w:r w:rsidR="0088271C" w:rsidRPr="0088271C">
        <w:rPr>
          <w:b/>
          <w:lang w:val="en-US"/>
        </w:rPr>
        <w:t>Ukraine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14:paraId="5D52C13F" w14:textId="77777777"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 w14:paraId="471359A8" w14:textId="77777777">
        <w:tc>
          <w:tcPr>
            <w:tcW w:w="4623" w:type="dxa"/>
            <w:shd w:val="clear" w:color="auto" w:fill="auto"/>
            <w:vAlign w:val="center"/>
          </w:tcPr>
          <w:p w14:paraId="4ACC67F3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14:paraId="1EBCBBDB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497F8D96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3D6782D7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 w14:paraId="18E61C70" w14:textId="77777777">
        <w:tc>
          <w:tcPr>
            <w:tcW w:w="4623" w:type="dxa"/>
            <w:shd w:val="clear" w:color="auto" w:fill="auto"/>
            <w:vAlign w:val="center"/>
          </w:tcPr>
          <w:p w14:paraId="4C635CEB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1AF089E0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14:paraId="4EDDA1CB" w14:textId="77777777" w:rsidR="003C1AF8" w:rsidRDefault="00341C02">
      <w:pPr>
        <w:rPr>
          <w:b/>
        </w:rPr>
      </w:pPr>
      <w:r>
        <w:br w:type="page"/>
      </w:r>
    </w:p>
    <w:p w14:paraId="2794CFED" w14:textId="77777777"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14:paraId="12F96F26" w14:textId="77777777"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14:paraId="0629B330" w14:textId="77777777"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14:paraId="08CBFCA0" w14:textId="77777777" w:rsidR="003C1AF8" w:rsidRDefault="003C1AF8">
      <w:pPr>
        <w:tabs>
          <w:tab w:val="left" w:pos="7020"/>
        </w:tabs>
      </w:pPr>
    </w:p>
    <w:p w14:paraId="14A744D8" w14:textId="77777777"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14:paraId="7008C737" w14:textId="77777777" w:rsidR="003C1AF8" w:rsidRDefault="003C1AF8"/>
    <w:sectPr w:rsidR="003C1AF8">
      <w:headerReference w:type="default" r:id="rId15"/>
      <w:footerReference w:type="default" r:id="rId16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D2C4" w14:textId="77777777" w:rsidR="003E0584" w:rsidRDefault="003E0584">
      <w:pPr>
        <w:spacing w:after="0" w:line="240" w:lineRule="auto"/>
      </w:pPr>
      <w:r>
        <w:separator/>
      </w:r>
    </w:p>
  </w:endnote>
  <w:endnote w:type="continuationSeparator" w:id="0">
    <w:p w14:paraId="2C825E72" w14:textId="77777777" w:rsidR="003E0584" w:rsidRDefault="003E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7176" w14:textId="77777777"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14:paraId="71C58226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14:paraId="411ED42E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75D2" w14:textId="77777777" w:rsidR="003E0584" w:rsidRDefault="003E0584">
      <w:pPr>
        <w:spacing w:after="0" w:line="240" w:lineRule="auto"/>
      </w:pPr>
      <w:r>
        <w:separator/>
      </w:r>
    </w:p>
  </w:footnote>
  <w:footnote w:type="continuationSeparator" w:id="0">
    <w:p w14:paraId="16FF7502" w14:textId="77777777" w:rsidR="003E0584" w:rsidRDefault="003E0584">
      <w:pPr>
        <w:spacing w:after="0" w:line="240" w:lineRule="auto"/>
      </w:pPr>
      <w:r>
        <w:continuationSeparator/>
      </w:r>
    </w:p>
  </w:footnote>
  <w:footnote w:id="1">
    <w:p w14:paraId="5F4685D9" w14:textId="77777777"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7CE9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74A310D" wp14:editId="34489345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77D714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14:paraId="7682EB56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14:paraId="178B309D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14:paraId="51D4BFF1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8237">
    <w:abstractNumId w:val="1"/>
  </w:num>
  <w:num w:numId="2" w16cid:durableId="869101171">
    <w:abstractNumId w:val="4"/>
  </w:num>
  <w:num w:numId="3" w16cid:durableId="326250704">
    <w:abstractNumId w:val="5"/>
  </w:num>
  <w:num w:numId="4" w16cid:durableId="1255168893">
    <w:abstractNumId w:val="0"/>
  </w:num>
  <w:num w:numId="5" w16cid:durableId="467406934">
    <w:abstractNumId w:val="2"/>
  </w:num>
  <w:num w:numId="6" w16cid:durableId="114284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F8"/>
    <w:rsid w:val="000020B8"/>
    <w:rsid w:val="00007290"/>
    <w:rsid w:val="000226AE"/>
    <w:rsid w:val="00025A45"/>
    <w:rsid w:val="0003367C"/>
    <w:rsid w:val="00035811"/>
    <w:rsid w:val="00077B58"/>
    <w:rsid w:val="00094190"/>
    <w:rsid w:val="0009484F"/>
    <w:rsid w:val="00097ED9"/>
    <w:rsid w:val="000A3977"/>
    <w:rsid w:val="000A44BB"/>
    <w:rsid w:val="000A5254"/>
    <w:rsid w:val="000B0368"/>
    <w:rsid w:val="000C5D68"/>
    <w:rsid w:val="000D532B"/>
    <w:rsid w:val="000E5045"/>
    <w:rsid w:val="000E6705"/>
    <w:rsid w:val="000E6DA6"/>
    <w:rsid w:val="000F45E7"/>
    <w:rsid w:val="00101FE3"/>
    <w:rsid w:val="001114CF"/>
    <w:rsid w:val="00117C55"/>
    <w:rsid w:val="001211BB"/>
    <w:rsid w:val="0013025F"/>
    <w:rsid w:val="001506CF"/>
    <w:rsid w:val="00151C44"/>
    <w:rsid w:val="0015294D"/>
    <w:rsid w:val="00152EA5"/>
    <w:rsid w:val="00191E60"/>
    <w:rsid w:val="00195D82"/>
    <w:rsid w:val="001B5342"/>
    <w:rsid w:val="001C7098"/>
    <w:rsid w:val="001D2F33"/>
    <w:rsid w:val="001D3CED"/>
    <w:rsid w:val="001F4CF8"/>
    <w:rsid w:val="00222F6D"/>
    <w:rsid w:val="00234459"/>
    <w:rsid w:val="00235692"/>
    <w:rsid w:val="0023654F"/>
    <w:rsid w:val="00245444"/>
    <w:rsid w:val="002467BB"/>
    <w:rsid w:val="00260124"/>
    <w:rsid w:val="00311543"/>
    <w:rsid w:val="003150FF"/>
    <w:rsid w:val="0032128C"/>
    <w:rsid w:val="0032365A"/>
    <w:rsid w:val="0034188D"/>
    <w:rsid w:val="00341C02"/>
    <w:rsid w:val="003421C8"/>
    <w:rsid w:val="00352124"/>
    <w:rsid w:val="003609FF"/>
    <w:rsid w:val="00373EF2"/>
    <w:rsid w:val="003908AC"/>
    <w:rsid w:val="003A218A"/>
    <w:rsid w:val="003A2DED"/>
    <w:rsid w:val="003A7E18"/>
    <w:rsid w:val="003C1AF8"/>
    <w:rsid w:val="003C21C2"/>
    <w:rsid w:val="003C4314"/>
    <w:rsid w:val="003D4E4E"/>
    <w:rsid w:val="003E0584"/>
    <w:rsid w:val="003E2734"/>
    <w:rsid w:val="003F1A2A"/>
    <w:rsid w:val="003F299B"/>
    <w:rsid w:val="003F6253"/>
    <w:rsid w:val="00416A4E"/>
    <w:rsid w:val="00417D69"/>
    <w:rsid w:val="004274FE"/>
    <w:rsid w:val="00443BD3"/>
    <w:rsid w:val="004443A7"/>
    <w:rsid w:val="004571E5"/>
    <w:rsid w:val="0045755D"/>
    <w:rsid w:val="0048318D"/>
    <w:rsid w:val="00491315"/>
    <w:rsid w:val="004A0838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C6266"/>
    <w:rsid w:val="005F4681"/>
    <w:rsid w:val="00606A64"/>
    <w:rsid w:val="006409DA"/>
    <w:rsid w:val="006650F6"/>
    <w:rsid w:val="00694AF0"/>
    <w:rsid w:val="006B65C9"/>
    <w:rsid w:val="006E3E54"/>
    <w:rsid w:val="00707791"/>
    <w:rsid w:val="00710524"/>
    <w:rsid w:val="00715D12"/>
    <w:rsid w:val="0073002A"/>
    <w:rsid w:val="00731195"/>
    <w:rsid w:val="00744C71"/>
    <w:rsid w:val="007557AA"/>
    <w:rsid w:val="00773325"/>
    <w:rsid w:val="0077607A"/>
    <w:rsid w:val="00776D6B"/>
    <w:rsid w:val="00780B40"/>
    <w:rsid w:val="007B6D43"/>
    <w:rsid w:val="007C3997"/>
    <w:rsid w:val="007D6680"/>
    <w:rsid w:val="007D750C"/>
    <w:rsid w:val="007E41D9"/>
    <w:rsid w:val="007E56CF"/>
    <w:rsid w:val="0080146D"/>
    <w:rsid w:val="0081230C"/>
    <w:rsid w:val="00823FB7"/>
    <w:rsid w:val="00836578"/>
    <w:rsid w:val="00881422"/>
    <w:rsid w:val="0088271C"/>
    <w:rsid w:val="0089166C"/>
    <w:rsid w:val="008C161D"/>
    <w:rsid w:val="008D21A6"/>
    <w:rsid w:val="008D2466"/>
    <w:rsid w:val="008E7880"/>
    <w:rsid w:val="008F467D"/>
    <w:rsid w:val="00914953"/>
    <w:rsid w:val="009236FF"/>
    <w:rsid w:val="009542EF"/>
    <w:rsid w:val="0096006F"/>
    <w:rsid w:val="00961B1B"/>
    <w:rsid w:val="0098236D"/>
    <w:rsid w:val="00997FA3"/>
    <w:rsid w:val="009A17A2"/>
    <w:rsid w:val="009A7B8A"/>
    <w:rsid w:val="009A7F50"/>
    <w:rsid w:val="009C7481"/>
    <w:rsid w:val="009D1F4E"/>
    <w:rsid w:val="009D418F"/>
    <w:rsid w:val="00A13F25"/>
    <w:rsid w:val="00A271A4"/>
    <w:rsid w:val="00A870E3"/>
    <w:rsid w:val="00AC162B"/>
    <w:rsid w:val="00AD0CD0"/>
    <w:rsid w:val="00AE7070"/>
    <w:rsid w:val="00AF1456"/>
    <w:rsid w:val="00AF4BFA"/>
    <w:rsid w:val="00B10312"/>
    <w:rsid w:val="00B17EB4"/>
    <w:rsid w:val="00B217BD"/>
    <w:rsid w:val="00B36A6F"/>
    <w:rsid w:val="00B36ADB"/>
    <w:rsid w:val="00B450FF"/>
    <w:rsid w:val="00B5770D"/>
    <w:rsid w:val="00B65D89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2EA0"/>
    <w:rsid w:val="00C558C8"/>
    <w:rsid w:val="00C85383"/>
    <w:rsid w:val="00C95A79"/>
    <w:rsid w:val="00CA73E9"/>
    <w:rsid w:val="00CB391E"/>
    <w:rsid w:val="00CC31CE"/>
    <w:rsid w:val="00CD15ED"/>
    <w:rsid w:val="00D24394"/>
    <w:rsid w:val="00D46AA5"/>
    <w:rsid w:val="00D47574"/>
    <w:rsid w:val="00D55EDD"/>
    <w:rsid w:val="00D67904"/>
    <w:rsid w:val="00D74C6D"/>
    <w:rsid w:val="00D75A69"/>
    <w:rsid w:val="00DA606E"/>
    <w:rsid w:val="00DB6520"/>
    <w:rsid w:val="00DE16A1"/>
    <w:rsid w:val="00DE4629"/>
    <w:rsid w:val="00E01596"/>
    <w:rsid w:val="00E07AC6"/>
    <w:rsid w:val="00E14163"/>
    <w:rsid w:val="00E248CF"/>
    <w:rsid w:val="00E438BA"/>
    <w:rsid w:val="00E54EB1"/>
    <w:rsid w:val="00E73AF4"/>
    <w:rsid w:val="00E85CE6"/>
    <w:rsid w:val="00EB063E"/>
    <w:rsid w:val="00EB48E1"/>
    <w:rsid w:val="00ED2068"/>
    <w:rsid w:val="00ED43A2"/>
    <w:rsid w:val="00ED633B"/>
    <w:rsid w:val="00EE03E1"/>
    <w:rsid w:val="00EE1C1E"/>
    <w:rsid w:val="00EF10DF"/>
    <w:rsid w:val="00F1269E"/>
    <w:rsid w:val="00F23271"/>
    <w:rsid w:val="00F23E79"/>
    <w:rsid w:val="00F24CDF"/>
    <w:rsid w:val="00F24DB9"/>
    <w:rsid w:val="00F251AC"/>
    <w:rsid w:val="00F30221"/>
    <w:rsid w:val="00F63053"/>
    <w:rsid w:val="00F8678F"/>
    <w:rsid w:val="00FD43D6"/>
    <w:rsid w:val="00FD798E"/>
    <w:rsid w:val="00FF4BE8"/>
    <w:rsid w:val="00FF612E"/>
    <w:rsid w:val="00FF69F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1314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about-procuremen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eb2.unfpa.org/help/hotline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fpa.org/resources/fraud-policy-20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nfpa.org/about-procuremen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easury.un.org" TargetMode="External"/><Relationship Id="rId14" Type="http://schemas.openxmlformats.org/officeDocument/2006/relationships/hyperlink" Target="mailto:procurement@unf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5B660945-E9DA-4E0E-84A7-EB09A8A46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Olha Eitutis</cp:lastModifiedBy>
  <cp:revision>2</cp:revision>
  <dcterms:created xsi:type="dcterms:W3CDTF">2023-12-15T14:57:00Z</dcterms:created>
  <dcterms:modified xsi:type="dcterms:W3CDTF">2023-12-15T14:57:00Z</dcterms:modified>
</cp:coreProperties>
</file>