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Default="003C1AF8">
      <w:pPr>
        <w:tabs>
          <w:tab w:val="left" w:pos="5400"/>
        </w:tabs>
        <w:jc w:val="right"/>
      </w:pPr>
    </w:p>
    <w:p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3D3292">
        <w:rPr>
          <w:lang w:val="en-US"/>
        </w:rPr>
        <w:t xml:space="preserve">10 </w:t>
      </w:r>
      <w:r w:rsidR="00A32E94">
        <w:t>листопада</w:t>
      </w:r>
      <w:r>
        <w:t xml:space="preserve"> 2022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Default="00A3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UNFPA/UKR/RFQ/22/45</w:t>
      </w:r>
    </w:p>
    <w:p w:rsidR="003C1AF8" w:rsidRDefault="003C1AF8"/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 xml:space="preserve">Цим ми просимо вашу пропозицію на </w:t>
      </w:r>
      <w:r>
        <w:rPr>
          <w:b/>
        </w:rPr>
        <w:t>«</w:t>
      </w:r>
      <w:r w:rsidR="00FF1521">
        <w:rPr>
          <w:b/>
        </w:rPr>
        <w:t>Друк</w:t>
      </w:r>
      <w:r w:rsidR="00FF1521" w:rsidRPr="00FF1521">
        <w:rPr>
          <w:b/>
        </w:rPr>
        <w:t xml:space="preserve"> та доставк</w:t>
      </w:r>
      <w:r w:rsidR="00FF1521">
        <w:rPr>
          <w:b/>
        </w:rPr>
        <w:t>а</w:t>
      </w:r>
      <w:r w:rsidR="00FF1521" w:rsidRPr="00FF1521">
        <w:rPr>
          <w:b/>
        </w:rPr>
        <w:t xml:space="preserve"> мінібуклета «Поліція» – куди дзвонити та що робити у разі домашнього насильства</w:t>
      </w:r>
      <w:r>
        <w:rPr>
          <w:b/>
        </w:rPr>
        <w:t>»</w:t>
      </w:r>
      <w:r>
        <w:t xml:space="preserve"> відповідно до наведеної нижче специфікації:</w:t>
      </w:r>
    </w:p>
    <w:p w:rsidR="003C1AF8" w:rsidRDefault="003C1AF8">
      <w:pPr>
        <w:jc w:val="both"/>
      </w:pPr>
    </w:p>
    <w:tbl>
      <w:tblPr>
        <w:tblStyle w:val="aff"/>
        <w:tblW w:w="10060" w:type="dxa"/>
        <w:tblLayout w:type="fixed"/>
        <w:tblLook w:val="0400" w:firstRow="0" w:lastRow="0" w:firstColumn="0" w:lastColumn="0" w:noHBand="0" w:noVBand="1"/>
      </w:tblPr>
      <w:tblGrid>
        <w:gridCol w:w="562"/>
        <w:gridCol w:w="993"/>
        <w:gridCol w:w="283"/>
        <w:gridCol w:w="1843"/>
        <w:gridCol w:w="2410"/>
        <w:gridCol w:w="992"/>
        <w:gridCol w:w="992"/>
        <w:gridCol w:w="1985"/>
      </w:tblGrid>
      <w:tr w:rsidR="003C1AF8" w:rsidTr="00D050A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Но-мер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3C1AF8" w:rsidTr="00D050A7">
        <w:trPr>
          <w:trHeight w:val="4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117C55" w:rsidRDefault="00341C02">
            <w:pPr>
              <w:spacing w:after="0" w:line="240" w:lineRule="auto"/>
              <w:jc w:val="center"/>
              <w:rPr>
                <w:color w:val="585858"/>
                <w:highlight w:val="yellow"/>
              </w:rPr>
            </w:pPr>
            <w:r w:rsidRPr="00D050A7">
              <w:rPr>
                <w:color w:val="58585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117C55" w:rsidRDefault="00D050A7" w:rsidP="00D050A7">
            <w:pPr>
              <w:spacing w:after="0" w:line="240" w:lineRule="auto"/>
              <w:ind w:left="-115" w:right="-115"/>
              <w:jc w:val="center"/>
              <w:rPr>
                <w:color w:val="000000"/>
                <w:highlight w:val="yellow"/>
              </w:rPr>
            </w:pPr>
            <w:r w:rsidRPr="00D050A7">
              <w:rPr>
                <w:color w:val="000000"/>
              </w:rPr>
              <w:t>Буклет "Куди звкртатись по допомогу у випадку домашнього насильства"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0A7" w:rsidRPr="00D050A7" w:rsidRDefault="00D050A7" w:rsidP="00D050A7">
            <w:pPr>
              <w:spacing w:after="0" w:line="240" w:lineRule="auto"/>
              <w:ind w:left="-115" w:right="-115"/>
              <w:jc w:val="center"/>
              <w:rPr>
                <w:color w:val="000000"/>
              </w:rPr>
            </w:pPr>
            <w:r w:rsidRPr="00D050A7">
              <w:rPr>
                <w:color w:val="000000"/>
              </w:rPr>
              <w:t>Міні Буклет (1/3 формату А4), 2 згіни</w:t>
            </w:r>
          </w:p>
          <w:p w:rsidR="00D050A7" w:rsidRPr="00D050A7" w:rsidRDefault="00D050A7" w:rsidP="00D050A7">
            <w:pPr>
              <w:spacing w:after="0" w:line="240" w:lineRule="auto"/>
              <w:ind w:left="-115" w:right="-115"/>
              <w:jc w:val="center"/>
              <w:rPr>
                <w:color w:val="000000"/>
              </w:rPr>
            </w:pPr>
          </w:p>
          <w:p w:rsidR="003C1AF8" w:rsidRPr="00D050A7" w:rsidRDefault="00D050A7" w:rsidP="00D050A7">
            <w:pPr>
              <w:spacing w:after="0" w:line="240" w:lineRule="auto"/>
              <w:ind w:left="-115" w:right="-115"/>
              <w:jc w:val="center"/>
              <w:rPr>
                <w:color w:val="000000"/>
              </w:rPr>
            </w:pPr>
            <w:r w:rsidRPr="00D050A7">
              <w:rPr>
                <w:color w:val="000000"/>
              </w:rPr>
              <w:t>Формат - 210х98 мм, tri-fold., 4+4, мелований папір, щільність 150 г/м2, друк двостороній</w:t>
            </w:r>
          </w:p>
          <w:p w:rsidR="00D050A7" w:rsidRDefault="00D050A7">
            <w:pPr>
              <w:spacing w:after="0" w:line="240" w:lineRule="auto"/>
              <w:jc w:val="center"/>
              <w:rPr>
                <w:color w:val="585858"/>
              </w:rPr>
            </w:pPr>
          </w:p>
          <w:p w:rsidR="00D050A7" w:rsidRDefault="00D050A7">
            <w:pPr>
              <w:spacing w:after="0" w:line="240" w:lineRule="auto"/>
              <w:jc w:val="center"/>
              <w:rPr>
                <w:color w:val="58585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050A7">
            <w:pPr>
              <w:spacing w:after="0" w:line="240" w:lineRule="auto"/>
              <w:jc w:val="center"/>
              <w:rPr>
                <w:color w:val="585858"/>
              </w:rPr>
            </w:pPr>
            <w:r w:rsidRPr="00D050A7">
              <w:rPr>
                <w:noProof/>
                <w:color w:val="585858"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787E049F" wp14:editId="1584333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54610</wp:posOffset>
                  </wp:positionV>
                  <wp:extent cx="1384300" cy="66040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0A7">
              <w:rPr>
                <w:noProof/>
                <w:color w:val="585858"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6F6A0324" wp14:editId="51076115">
                  <wp:simplePos x="0" y="0"/>
                  <wp:positionH relativeFrom="column">
                    <wp:posOffset>-5052</wp:posOffset>
                  </wp:positionH>
                  <wp:positionV relativeFrom="paragraph">
                    <wp:posOffset>1208736</wp:posOffset>
                  </wp:positionV>
                  <wp:extent cx="1384300" cy="663575"/>
                  <wp:effectExtent l="0" t="0" r="635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1C0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7C55" w:rsidRDefault="00117C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9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Im5vM/JAQAAhw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117C55" w:rsidRDefault="00117C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D050A7" w:rsidRDefault="00341C02" w:rsidP="00D050A7">
            <w:pPr>
              <w:spacing w:after="0" w:line="240" w:lineRule="auto"/>
              <w:ind w:left="-115" w:right="-115"/>
              <w:jc w:val="center"/>
              <w:rPr>
                <w:color w:val="000000"/>
              </w:rPr>
            </w:pPr>
            <w:r w:rsidRPr="00D050A7"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D050A7" w:rsidRDefault="00D050A7" w:rsidP="00D050A7">
            <w:pPr>
              <w:spacing w:after="0" w:line="240" w:lineRule="auto"/>
              <w:ind w:left="-115" w:right="-115"/>
              <w:jc w:val="center"/>
              <w:rPr>
                <w:color w:val="000000"/>
              </w:rPr>
            </w:pPr>
            <w:r w:rsidRPr="00D050A7">
              <w:rPr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D050A7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r w:rsidRPr="00D050A7">
              <w:rPr>
                <w:color w:val="0563C1"/>
                <w:u w:val="single"/>
              </w:rPr>
              <w:t>https://drive.google.com/drive/folders/1WQpVQJ2jLinP7cL4IaAzqautD9Kr4qYE</w:t>
            </w:r>
          </w:p>
        </w:tc>
      </w:tr>
    </w:tbl>
    <w:p w:rsidR="00077B58" w:rsidRDefault="00077B58">
      <w:pPr>
        <w:jc w:val="both"/>
      </w:pPr>
    </w:p>
    <w:p w:rsidR="00077B58" w:rsidRDefault="00077B58">
      <w:pPr>
        <w:jc w:val="both"/>
      </w:pPr>
    </w:p>
    <w:p w:rsidR="003C1AF8" w:rsidRDefault="003C1AF8">
      <w:pPr>
        <w:jc w:val="both"/>
      </w:pPr>
    </w:p>
    <w:p w:rsidR="00D050A7" w:rsidRDefault="00D050A7">
      <w:pPr>
        <w:jc w:val="both"/>
      </w:pPr>
    </w:p>
    <w:p w:rsidR="00D050A7" w:rsidRDefault="00D050A7">
      <w:pPr>
        <w:jc w:val="both"/>
      </w:pPr>
    </w:p>
    <w:p w:rsidR="00D050A7" w:rsidRDefault="00D050A7">
      <w:pPr>
        <w:jc w:val="both"/>
      </w:pPr>
    </w:p>
    <w:p w:rsidR="003C1AF8" w:rsidRDefault="00341C02">
      <w:pPr>
        <w:jc w:val="both"/>
      </w:pPr>
      <w:r>
        <w:lastRenderedPageBreak/>
        <w:t>Доставка здійсюється за наступними адресами:</w:t>
      </w:r>
    </w:p>
    <w:p w:rsidR="00826889" w:rsidRDefault="00EE57DC">
      <w:pPr>
        <w:jc w:val="both"/>
      </w:pPr>
      <w:r w:rsidRPr="00EE57DC">
        <w:t>м. Одеса</w:t>
      </w:r>
      <w:r>
        <w:t xml:space="preserve">, </w:t>
      </w:r>
      <w:r w:rsidRPr="00EE57DC">
        <w:t>м. Черкаси</w:t>
      </w:r>
      <w:r>
        <w:t xml:space="preserve">, </w:t>
      </w:r>
      <w:r w:rsidRPr="00EE57DC">
        <w:t>Вінницька область смт. Тиврів</w:t>
      </w:r>
      <w:r>
        <w:t xml:space="preserve">, </w:t>
      </w:r>
      <w:r w:rsidRPr="00EE57DC">
        <w:t>м. Рівне</w:t>
      </w:r>
      <w:r>
        <w:t xml:space="preserve">, </w:t>
      </w:r>
      <w:r w:rsidRPr="00EE57DC">
        <w:t>м. Житомир</w:t>
      </w:r>
      <w:r>
        <w:t xml:space="preserve">, </w:t>
      </w:r>
      <w:r w:rsidRPr="00EE57DC">
        <w:t>м. Тернопіль</w:t>
      </w:r>
      <w:r>
        <w:t xml:space="preserve">, </w:t>
      </w:r>
      <w:r w:rsidRPr="00EE57DC">
        <w:t>м. Хмельницький</w:t>
      </w:r>
      <w:r>
        <w:t xml:space="preserve">, </w:t>
      </w:r>
      <w:r w:rsidRPr="00EE57DC">
        <w:t>м. Дніпро</w:t>
      </w:r>
      <w:r>
        <w:t>,</w:t>
      </w:r>
      <w:r w:rsidRPr="00EE57DC">
        <w:t xml:space="preserve"> м. Чернігів</w:t>
      </w:r>
      <w:r>
        <w:t xml:space="preserve">, </w:t>
      </w:r>
      <w:r w:rsidRPr="00EE57DC">
        <w:t>с. Угринів</w:t>
      </w:r>
      <w:r w:rsidR="006239B3">
        <w:t xml:space="preserve"> (</w:t>
      </w:r>
      <w:r w:rsidR="006239B3" w:rsidRPr="00EE57DC">
        <w:t>Івано-Фра</w:t>
      </w:r>
      <w:r w:rsidR="006239B3">
        <w:t>нківська обл.)</w:t>
      </w:r>
      <w:r w:rsidR="00F6157E">
        <w:t xml:space="preserve">, </w:t>
      </w:r>
      <w:r w:rsidR="00F6157E" w:rsidRPr="00F6157E">
        <w:t>м. Кропивницький</w:t>
      </w:r>
      <w:r w:rsidR="00F6157E">
        <w:t xml:space="preserve">, </w:t>
      </w:r>
      <w:r w:rsidR="00F6157E" w:rsidRPr="00F6157E">
        <w:t>м. Чернівці</w:t>
      </w:r>
      <w:r w:rsidR="00F6157E">
        <w:t xml:space="preserve">, </w:t>
      </w:r>
      <w:r w:rsidR="00F6157E" w:rsidRPr="00F6157E">
        <w:t>м. Суми</w:t>
      </w:r>
      <w:r w:rsidR="00F6157E">
        <w:t>,</w:t>
      </w:r>
      <w:r w:rsidR="00F6157E" w:rsidRPr="00F6157E">
        <w:t xml:space="preserve"> м. Полтава</w:t>
      </w:r>
      <w:r w:rsidR="00F6157E">
        <w:t xml:space="preserve">, </w:t>
      </w:r>
      <w:r w:rsidR="00F6157E" w:rsidRPr="00F6157E">
        <w:t>м. Запоріжжя</w:t>
      </w:r>
      <w:r w:rsidR="00F6157E">
        <w:t xml:space="preserve">, </w:t>
      </w:r>
      <w:r w:rsidR="00F6157E" w:rsidRPr="00F6157E">
        <w:t>м. Луцьк</w:t>
      </w:r>
      <w:r w:rsidR="00F6157E">
        <w:t xml:space="preserve">, </w:t>
      </w:r>
      <w:r w:rsidR="00F6157E" w:rsidRPr="00F6157E">
        <w:t>м. Ужгород</w:t>
      </w:r>
      <w:r w:rsidR="006239B3">
        <w:t xml:space="preserve">, </w:t>
      </w:r>
      <w:r w:rsidR="006239B3" w:rsidRPr="006239B3">
        <w:t>м. Київ</w:t>
      </w:r>
      <w:r w:rsidR="006239B3">
        <w:t xml:space="preserve">, </w:t>
      </w:r>
      <w:r w:rsidR="006239B3" w:rsidRPr="006239B3">
        <w:t>м. Дружківка</w:t>
      </w:r>
      <w:r w:rsidR="006239B3">
        <w:t xml:space="preserve">, </w:t>
      </w:r>
      <w:r w:rsidR="006239B3" w:rsidRPr="006239B3">
        <w:t>м. Львів</w:t>
      </w:r>
      <w:r w:rsidR="006239B3">
        <w:t>, м. Миколаїв</w:t>
      </w:r>
      <w:r w:rsidR="006239B3" w:rsidRPr="006239B3">
        <w:t xml:space="preserve"> (Херсонська обл</w:t>
      </w:r>
      <w:r w:rsidR="006239B3">
        <w:t>.</w:t>
      </w:r>
      <w:r w:rsidR="006239B3" w:rsidRPr="006239B3">
        <w:t>)</w:t>
      </w:r>
      <w:r w:rsidR="006239B3">
        <w:t>,</w:t>
      </w:r>
      <w:r w:rsidR="006239B3" w:rsidRPr="006239B3">
        <w:t xml:space="preserve"> м. Миколаїв</w:t>
      </w:r>
      <w:r w:rsidR="006239B3">
        <w:t xml:space="preserve"> (</w:t>
      </w:r>
      <w:r w:rsidR="006239B3" w:rsidRPr="006239B3">
        <w:t>Микола</w:t>
      </w:r>
      <w:r w:rsidR="006239B3">
        <w:t>ї</w:t>
      </w:r>
      <w:r w:rsidR="006239B3" w:rsidRPr="006239B3">
        <w:t>вська обл.)</w:t>
      </w:r>
      <w:r w:rsidR="006239B3">
        <w:t xml:space="preserve">, </w:t>
      </w:r>
      <w:r w:rsidR="006239B3" w:rsidRPr="006239B3">
        <w:t>м. Харків</w:t>
      </w:r>
      <w:r w:rsidR="006239B3">
        <w:t xml:space="preserve">, </w:t>
      </w:r>
      <w:r w:rsidR="006239B3" w:rsidRPr="006239B3">
        <w:t>м. Вінниця</w:t>
      </w:r>
      <w:r w:rsidR="006239B3">
        <w:t xml:space="preserve">, </w:t>
      </w:r>
      <w:r w:rsidR="006239B3" w:rsidRPr="006239B3">
        <w:t>м.Дніпро</w:t>
      </w:r>
      <w:r w:rsidR="006239B3">
        <w:t xml:space="preserve">, </w:t>
      </w:r>
      <w:r w:rsidR="006239B3" w:rsidRPr="006239B3">
        <w:t>м.Кривий Ріг</w:t>
      </w:r>
      <w:r w:rsidR="006239B3">
        <w:t xml:space="preserve">, </w:t>
      </w:r>
      <w:r w:rsidR="006239B3" w:rsidRPr="006239B3">
        <w:t>м.Ужгород</w:t>
      </w:r>
      <w:r w:rsidR="006239B3">
        <w:t xml:space="preserve">, </w:t>
      </w:r>
      <w:r w:rsidR="006239B3" w:rsidRPr="006239B3">
        <w:t>м. Івано-Франківськ</w:t>
      </w:r>
      <w:r w:rsidR="006239B3">
        <w:t xml:space="preserve">, </w:t>
      </w:r>
      <w:r w:rsidR="006239B3" w:rsidRPr="006239B3">
        <w:t>м. Бориспіль</w:t>
      </w:r>
      <w:r w:rsidR="006239B3">
        <w:t xml:space="preserve">, </w:t>
      </w:r>
      <w:r w:rsidR="006239B3" w:rsidRPr="006239B3">
        <w:t>м.Біла Церква</w:t>
      </w:r>
      <w:r w:rsidR="006239B3">
        <w:t>, с. Чайки (</w:t>
      </w:r>
      <w:r w:rsidR="006239B3" w:rsidRPr="006239B3">
        <w:t xml:space="preserve">Київська </w:t>
      </w:r>
      <w:r w:rsidR="006239B3">
        <w:t xml:space="preserve">обл.), </w:t>
      </w:r>
      <w:r w:rsidR="009B2C3D" w:rsidRPr="009B2C3D">
        <w:t>м. Ізмаїл</w:t>
      </w:r>
      <w:r w:rsidR="009B2C3D">
        <w:t xml:space="preserve">, </w:t>
      </w:r>
      <w:r w:rsidR="009B2C3D" w:rsidRPr="009B2C3D">
        <w:t>Полтавська область</w:t>
      </w:r>
      <w:r w:rsidR="009B2C3D">
        <w:t xml:space="preserve"> (</w:t>
      </w:r>
      <w:r w:rsidR="009B2C3D" w:rsidRPr="009B2C3D">
        <w:t>Полтавський район</w:t>
      </w:r>
      <w:r w:rsidR="009B2C3D">
        <w:t xml:space="preserve">), </w:t>
      </w:r>
      <w:r w:rsidR="009B2C3D" w:rsidRPr="009B2C3D">
        <w:t>м. Кременчук</w:t>
      </w:r>
      <w:r w:rsidR="009B2C3D">
        <w:t xml:space="preserve">, </w:t>
      </w:r>
      <w:r w:rsidR="009B2C3D" w:rsidRPr="009B2C3D">
        <w:t>м.Чернігів</w:t>
      </w:r>
      <w:r w:rsidR="009B2C3D">
        <w:t xml:space="preserve">, </w:t>
      </w:r>
      <w:r w:rsidR="009B2C3D" w:rsidRPr="009B2C3D">
        <w:t>м.Тернопіль</w:t>
      </w:r>
      <w:r w:rsidR="009B2C3D">
        <w:t>.</w:t>
      </w:r>
    </w:p>
    <w:p w:rsidR="009B2C3D" w:rsidRDefault="009B2C3D">
      <w:pPr>
        <w:jc w:val="both"/>
        <w:rPr>
          <w:b/>
        </w:rPr>
      </w:pP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9B2C3D">
        <w:rPr>
          <w:b/>
          <w:color w:val="000000"/>
        </w:rPr>
        <w:t>вівторок</w:t>
      </w:r>
      <w:r>
        <w:rPr>
          <w:b/>
          <w:color w:val="000000"/>
        </w:rPr>
        <w:t xml:space="preserve">, </w:t>
      </w:r>
      <w:r w:rsidR="009B2C3D">
        <w:rPr>
          <w:b/>
          <w:color w:val="000000"/>
        </w:rPr>
        <w:t>1</w:t>
      </w:r>
      <w:r w:rsidR="005D3FBA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="00372591">
        <w:rPr>
          <w:b/>
          <w:color w:val="000000"/>
        </w:rPr>
        <w:t>листопада</w:t>
      </w:r>
      <w:r w:rsidR="00077B58">
        <w:rPr>
          <w:b/>
          <w:color w:val="000000"/>
        </w:rPr>
        <w:t>, 2022, 17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72591">
            <w:pPr>
              <w:rPr>
                <w:i/>
              </w:rPr>
            </w:pPr>
            <w:r>
              <w:rPr>
                <w:b/>
                <w:color w:val="000000"/>
              </w:rPr>
              <w:t>Ніна Багаєва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72591">
            <w:pPr>
              <w:rPr>
                <w:i/>
              </w:rPr>
            </w:pPr>
            <w:r>
              <w:rPr>
                <w:color w:val="000000"/>
              </w:rPr>
              <w:t>bagayeva@unfpa.org</w:t>
            </w:r>
          </w:p>
        </w:tc>
      </w:tr>
    </w:tbl>
    <w:p w:rsidR="003C1AF8" w:rsidRDefault="00341C02">
      <w:pPr>
        <w:spacing w:after="0" w:line="240" w:lineRule="auto"/>
        <w:jc w:val="both"/>
      </w:pPr>
      <w:r>
        <w:t xml:space="preserve"> 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C1AF8">
      <w:pPr>
        <w:tabs>
          <w:tab w:val="left" w:pos="6630"/>
          <w:tab w:val="left" w:pos="9120"/>
        </w:tabs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3D3292">
        <w:rPr>
          <w:b/>
          <w:color w:val="000000"/>
        </w:rPr>
        <w:t>четверга</w:t>
      </w:r>
      <w:r w:rsidR="00372591">
        <w:rPr>
          <w:b/>
          <w:color w:val="000000"/>
        </w:rPr>
        <w:t>, 1</w:t>
      </w:r>
      <w:r w:rsidR="005D3FBA">
        <w:rPr>
          <w:b/>
          <w:color w:val="000000"/>
          <w:lang w:val="en-US"/>
        </w:rPr>
        <w:t>7</w:t>
      </w:r>
      <w:r>
        <w:rPr>
          <w:b/>
          <w:color w:val="000000"/>
        </w:rPr>
        <w:t xml:space="preserve"> </w:t>
      </w:r>
      <w:r w:rsidR="00372591">
        <w:rPr>
          <w:b/>
          <w:color w:val="000000"/>
        </w:rPr>
        <w:t>листопада</w:t>
      </w:r>
      <w:r>
        <w:rPr>
          <w:b/>
          <w:color w:val="000000"/>
        </w:rPr>
        <w:t xml:space="preserve">, 2022, </w:t>
      </w:r>
      <w:r>
        <w:rPr>
          <w:b/>
          <w:color w:val="000000"/>
        </w:rPr>
        <w:lastRenderedPageBreak/>
        <w:t>17:00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372591">
        <w:rPr>
          <w:b/>
          <w:color w:val="000000"/>
        </w:rPr>
        <w:t>RFQ Nº UNFPA/UKR/RFQ/22/45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30 листопада 2022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0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11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2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</w:t>
      </w:r>
      <w:r>
        <w:lastRenderedPageBreak/>
        <w:t xml:space="preserve">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3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4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5">
        <w:r>
          <w:t>kompaniiets@unfpa.org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6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Default="003725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UNFPA/UKR/RFQ/22/45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C7736E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938"/>
        <w:gridCol w:w="1601"/>
        <w:gridCol w:w="1554"/>
        <w:gridCol w:w="1874"/>
        <w:gridCol w:w="2268"/>
      </w:tblGrid>
      <w:tr w:rsidR="00077B58" w:rsidTr="00443BD3">
        <w:trPr>
          <w:trHeight w:val="763"/>
        </w:trPr>
        <w:tc>
          <w:tcPr>
            <w:tcW w:w="7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938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601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4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443BD3" w:rsidTr="00372591">
        <w:trPr>
          <w:trHeight w:val="489"/>
        </w:trPr>
        <w:tc>
          <w:tcPr>
            <w:tcW w:w="759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443BD3" w:rsidRDefault="00372591" w:rsidP="00372591">
            <w:pPr>
              <w:spacing w:after="0" w:line="240" w:lineRule="auto"/>
              <w:rPr>
                <w:color w:val="000000"/>
              </w:rPr>
            </w:pPr>
            <w:r w:rsidRPr="00D050A7">
              <w:rPr>
                <w:color w:val="000000"/>
              </w:rPr>
              <w:t>Буклет "Куди звкртатись по допомогу у випадку домашнього насильства"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443BD3" w:rsidRPr="00BF7189" w:rsidRDefault="00372591" w:rsidP="00372591">
            <w:pPr>
              <w:jc w:val="center"/>
            </w:pPr>
            <w:r>
              <w:t>100000</w:t>
            </w:r>
          </w:p>
        </w:tc>
        <w:tc>
          <w:tcPr>
            <w:tcW w:w="1874" w:type="dxa"/>
            <w:vAlign w:val="center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BD3" w:rsidRDefault="00443BD3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2591" w:rsidTr="00C4468B">
        <w:trPr>
          <w:trHeight w:val="489"/>
        </w:trPr>
        <w:tc>
          <w:tcPr>
            <w:tcW w:w="7726" w:type="dxa"/>
            <w:gridSpan w:val="5"/>
            <w:vAlign w:val="center"/>
          </w:tcPr>
          <w:p w:rsidR="00372591" w:rsidRDefault="000A512F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2268" w:type="dxa"/>
          </w:tcPr>
          <w:p w:rsidR="00372591" w:rsidRDefault="00372591" w:rsidP="00443B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512F" w:rsidTr="00F862DC">
        <w:trPr>
          <w:trHeight w:val="315"/>
        </w:trPr>
        <w:tc>
          <w:tcPr>
            <w:tcW w:w="7726" w:type="dxa"/>
            <w:gridSpan w:val="5"/>
            <w:vAlign w:val="center"/>
          </w:tcPr>
          <w:p w:rsidR="000A512F" w:rsidRDefault="000A51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2268" w:type="dxa"/>
          </w:tcPr>
          <w:p w:rsidR="000A512F" w:rsidRDefault="000A51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512F" w:rsidTr="004C4458">
        <w:trPr>
          <w:trHeight w:val="315"/>
        </w:trPr>
        <w:tc>
          <w:tcPr>
            <w:tcW w:w="7726" w:type="dxa"/>
            <w:gridSpan w:val="5"/>
            <w:shd w:val="clear" w:color="auto" w:fill="AEAAAA"/>
            <w:vAlign w:val="center"/>
          </w:tcPr>
          <w:p w:rsidR="000A512F" w:rsidRDefault="000A51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2268" w:type="dxa"/>
            <w:shd w:val="clear" w:color="auto" w:fill="AEAAAA"/>
          </w:tcPr>
          <w:p w:rsidR="000A512F" w:rsidRDefault="000A51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Pr="00C7736E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  <w:r w:rsidR="00077B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68D0F6E3" wp14:editId="339C442C">
                <wp:simplePos x="0" y="0"/>
                <wp:positionH relativeFrom="column">
                  <wp:posOffset>41937</wp:posOffset>
                </wp:positionH>
                <wp:positionV relativeFrom="paragraph">
                  <wp:posOffset>253945</wp:posOffset>
                </wp:positionV>
                <wp:extent cx="6191250" cy="382058"/>
                <wp:effectExtent l="0" t="0" r="0" b="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8205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7C55" w:rsidRDefault="00117C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117C55" w:rsidRDefault="00117C5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17C55" w:rsidRDefault="00117C5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17C55" w:rsidRDefault="00117C5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17C55" w:rsidRDefault="00117C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117C55" w:rsidRDefault="00117C55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17C55" w:rsidRDefault="00117C5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D1F09" id="Rectangle 1060" o:spid="_x0000_s1043" style="position:absolute;left:0;text-align:left;margin-left:3.3pt;margin-top:20pt;width:487.5pt;height:30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17C55" w:rsidRDefault="00117C55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117C55" w:rsidRDefault="00117C55">
                      <w:pPr>
                        <w:spacing w:line="258" w:lineRule="auto"/>
                        <w:textDirection w:val="btLr"/>
                      </w:pPr>
                    </w:p>
                    <w:p w:rsidR="00117C55" w:rsidRDefault="00117C55">
                      <w:pPr>
                        <w:spacing w:line="258" w:lineRule="auto"/>
                        <w:textDirection w:val="btLr"/>
                      </w:pPr>
                    </w:p>
                    <w:p w:rsidR="00117C55" w:rsidRDefault="00117C55">
                      <w:pPr>
                        <w:spacing w:line="258" w:lineRule="auto"/>
                        <w:textDirection w:val="btLr"/>
                      </w:pPr>
                    </w:p>
                    <w:p w:rsidR="00117C55" w:rsidRDefault="00117C55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117C55" w:rsidRDefault="00117C55">
                      <w:pPr>
                        <w:spacing w:line="258" w:lineRule="auto"/>
                        <w:textDirection w:val="btLr"/>
                      </w:pPr>
                    </w:p>
                    <w:p w:rsidR="00117C55" w:rsidRDefault="00117C5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</w:t>
      </w:r>
      <w:r w:rsidR="00C7736E">
        <w:rPr>
          <w:b/>
        </w:rPr>
        <w:t>озицій RFQ Nº UNFPA/UKR/RFQ/22/45</w:t>
      </w:r>
      <w:r>
        <w:rPr>
          <w:b/>
        </w:rPr>
        <w:t xml:space="preserve"> </w:t>
      </w:r>
      <w:r>
        <w:t>[</w:t>
      </w:r>
      <w:bookmarkStart w:id="1" w:name="_GoBack"/>
      <w:bookmarkEnd w:id="1"/>
      <w:r w:rsidR="00063E56" w:rsidRPr="00063E56">
        <w:rPr>
          <w:b/>
        </w:rPr>
        <w:t>Друк та доставка мінібуклета «Поліція» – куди дзвонити та що роби</w:t>
      </w:r>
      <w:r w:rsidR="00063E56">
        <w:rPr>
          <w:b/>
        </w:rPr>
        <w:t>ти у разі домашнього насильства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7"/>
      <w:footerReference w:type="default" r:id="rId18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68" w:rsidRDefault="00D05768">
      <w:pPr>
        <w:spacing w:after="0" w:line="240" w:lineRule="auto"/>
      </w:pPr>
      <w:r>
        <w:separator/>
      </w:r>
    </w:p>
  </w:endnote>
  <w:endnote w:type="continuationSeparator" w:id="0">
    <w:p w:rsidR="00D05768" w:rsidRDefault="00D0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55" w:rsidRDefault="00117C55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117C55" w:rsidRDefault="00117C5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117C55" w:rsidRDefault="00117C5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68" w:rsidRDefault="00D05768">
      <w:pPr>
        <w:spacing w:after="0" w:line="240" w:lineRule="auto"/>
      </w:pPr>
      <w:r>
        <w:separator/>
      </w:r>
    </w:p>
  </w:footnote>
  <w:footnote w:type="continuationSeparator" w:id="0">
    <w:p w:rsidR="00D05768" w:rsidRDefault="00D05768">
      <w:pPr>
        <w:spacing w:after="0" w:line="240" w:lineRule="auto"/>
      </w:pPr>
      <w:r>
        <w:continuationSeparator/>
      </w:r>
    </w:p>
  </w:footnote>
  <w:footnote w:id="1">
    <w:p w:rsidR="00117C55" w:rsidRDefault="00117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55" w:rsidRDefault="00117C5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7C55" w:rsidRDefault="00117C5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117C55" w:rsidRDefault="00117C5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117C55" w:rsidRDefault="00117C5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117C55" w:rsidRDefault="00117C5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9AB"/>
    <w:rsid w:val="00063E56"/>
    <w:rsid w:val="00077B58"/>
    <w:rsid w:val="000A512F"/>
    <w:rsid w:val="00117C55"/>
    <w:rsid w:val="0023654F"/>
    <w:rsid w:val="0032307E"/>
    <w:rsid w:val="00341C02"/>
    <w:rsid w:val="003421C8"/>
    <w:rsid w:val="00372591"/>
    <w:rsid w:val="003C1AF8"/>
    <w:rsid w:val="003D3292"/>
    <w:rsid w:val="00443BD3"/>
    <w:rsid w:val="00491315"/>
    <w:rsid w:val="004E0F35"/>
    <w:rsid w:val="005D3FBA"/>
    <w:rsid w:val="006239B3"/>
    <w:rsid w:val="00826889"/>
    <w:rsid w:val="009B2C3D"/>
    <w:rsid w:val="00A32E94"/>
    <w:rsid w:val="00B36ADB"/>
    <w:rsid w:val="00BA4180"/>
    <w:rsid w:val="00C3128D"/>
    <w:rsid w:val="00C7736E"/>
    <w:rsid w:val="00D050A7"/>
    <w:rsid w:val="00D05768"/>
    <w:rsid w:val="00D31A5F"/>
    <w:rsid w:val="00D74C6D"/>
    <w:rsid w:val="00E65CE7"/>
    <w:rsid w:val="00EB48E1"/>
    <w:rsid w:val="00EE1F97"/>
    <w:rsid w:val="00EE57DC"/>
    <w:rsid w:val="00EF10DF"/>
    <w:rsid w:val="00F24DB9"/>
    <w:rsid w:val="00F6157E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ocurement@unfp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paniiets@unfpa.org" TargetMode="External"/><Relationship Id="rId10" Type="http://schemas.openxmlformats.org/officeDocument/2006/relationships/hyperlink" Target="http://www.treasury.u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fpa.org/about-procur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IT</cp:lastModifiedBy>
  <cp:revision>24</cp:revision>
  <dcterms:created xsi:type="dcterms:W3CDTF">2022-09-28T13:33:00Z</dcterms:created>
  <dcterms:modified xsi:type="dcterms:W3CDTF">2022-11-14T06:54:00Z</dcterms:modified>
</cp:coreProperties>
</file>