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F8" w:rsidRDefault="005519F8">
      <w:pPr>
        <w:tabs>
          <w:tab w:val="left" w:pos="5400"/>
        </w:tabs>
        <w:spacing w:after="0" w:line="240" w:lineRule="auto"/>
        <w:jc w:val="right"/>
      </w:pPr>
      <w:bookmarkStart w:id="0" w:name="_GoBack"/>
      <w:bookmarkEnd w:id="0"/>
    </w:p>
    <w:p w:rsidR="005519F8" w:rsidRDefault="00E07AEB">
      <w:pPr>
        <w:tabs>
          <w:tab w:val="left" w:pos="5400"/>
        </w:tabs>
        <w:spacing w:after="0" w:line="240" w:lineRule="auto"/>
        <w:jc w:val="right"/>
        <w:rPr>
          <w:b/>
        </w:rPr>
      </w:pPr>
      <w:bookmarkStart w:id="1" w:name="_heading=h.gjdgxs" w:colFirst="0" w:colLast="0"/>
      <w:bookmarkEnd w:id="1"/>
      <w:r>
        <w:rPr>
          <w:b/>
        </w:rPr>
        <w:t>Дата: 20 вересня 2022 року</w:t>
      </w:r>
    </w:p>
    <w:p w:rsidR="005519F8" w:rsidRDefault="005519F8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</w:pPr>
    </w:p>
    <w:p w:rsidR="005519F8" w:rsidRDefault="005519F8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:rsidR="005519F8" w:rsidRDefault="00E07AEB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b/>
        </w:rPr>
        <w:t>Затверджено:</w:t>
      </w:r>
    </w:p>
    <w:p w:rsidR="005519F8" w:rsidRDefault="005519F8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:rsidR="005519F8" w:rsidRDefault="00E07AEB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b/>
        </w:rPr>
        <w:t>п. Хайме Надаль</w:t>
      </w:r>
    </w:p>
    <w:p w:rsidR="005519F8" w:rsidRDefault="005519F8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:rsidR="005519F8" w:rsidRDefault="00E07AEB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</w:pPr>
      <w:r>
        <w:rPr>
          <w:b/>
        </w:rPr>
        <w:t>Представник UNFPA, Фонду ООН у галузі народонаселення в Україні</w:t>
      </w:r>
    </w:p>
    <w:p w:rsidR="005519F8" w:rsidRDefault="005519F8">
      <w:pPr>
        <w:spacing w:after="0" w:line="240" w:lineRule="auto"/>
        <w:jc w:val="center"/>
        <w:rPr>
          <w:b/>
        </w:rPr>
      </w:pPr>
    </w:p>
    <w:p w:rsidR="005519F8" w:rsidRDefault="00E07AEB">
      <w:pPr>
        <w:spacing w:after="0" w:line="240" w:lineRule="auto"/>
        <w:jc w:val="center"/>
        <w:rPr>
          <w:b/>
        </w:rPr>
      </w:pPr>
      <w:r>
        <w:rPr>
          <w:b/>
        </w:rPr>
        <w:t xml:space="preserve">ЗАПИТ НА ПОДАННЯ ПРОПОЗИЦІЙ </w:t>
      </w:r>
    </w:p>
    <w:p w:rsidR="005519F8" w:rsidRDefault="00E07AEB">
      <w:pPr>
        <w:spacing w:after="0" w:line="240" w:lineRule="auto"/>
        <w:jc w:val="center"/>
        <w:rPr>
          <w:b/>
        </w:rPr>
      </w:pPr>
      <w:r>
        <w:rPr>
          <w:b/>
        </w:rPr>
        <w:t>RFQ Nº UNFPA/UKR/RFQ/22/33</w:t>
      </w:r>
    </w:p>
    <w:p w:rsidR="005519F8" w:rsidRDefault="005519F8">
      <w:pPr>
        <w:spacing w:after="0" w:line="240" w:lineRule="auto"/>
        <w:jc w:val="center"/>
        <w:rPr>
          <w:b/>
        </w:rPr>
      </w:pPr>
    </w:p>
    <w:p w:rsidR="005519F8" w:rsidRDefault="00E07AE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</w:pPr>
      <w:r>
        <w:t>Шановні пані / панове,</w:t>
      </w:r>
    </w:p>
    <w:p w:rsidR="005519F8" w:rsidRDefault="005519F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</w:pPr>
    </w:p>
    <w:p w:rsidR="005519F8" w:rsidRDefault="00E07AEB">
      <w:pPr>
        <w:spacing w:after="0" w:line="240" w:lineRule="auto"/>
        <w:jc w:val="both"/>
      </w:pPr>
      <w:r>
        <w:t>UNFPA, Фонд ООН у галузі народонаселення в Україні, запрошує Вас надати цінову пропозицію на такі послуги: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spacing w:after="0" w:line="240" w:lineRule="auto"/>
        <w:jc w:val="center"/>
        <w:rPr>
          <w:b/>
        </w:rPr>
      </w:pPr>
      <w:r>
        <w:rPr>
          <w:b/>
        </w:rPr>
        <w:t>Втілення заходів у межах кампанії «16 днів активізму проти ГЗН» у цільових громадах</w:t>
      </w:r>
    </w:p>
    <w:p w:rsidR="005519F8" w:rsidRDefault="005519F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:rsidR="005519F8" w:rsidRDefault="00E07AE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Цей запит відкритий для всіх юридично зареєстрованих компаній в Україні, 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:rsidR="005519F8" w:rsidRDefault="005519F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:rsidR="005519F8" w:rsidRDefault="00E07AE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Будемо вдячні за якнайшвидшу відпо</w:t>
      </w:r>
      <w:r>
        <w:t xml:space="preserve">відь на цей запит, але не пізніше ніж </w:t>
      </w:r>
      <w:r>
        <w:rPr>
          <w:b/>
        </w:rPr>
        <w:t>вівторок,</w:t>
      </w:r>
      <w:r>
        <w:t xml:space="preserve"> </w:t>
      </w:r>
      <w:r>
        <w:rPr>
          <w:b/>
        </w:rPr>
        <w:t>04 жовтня 2022 року</w:t>
      </w:r>
      <w:r>
        <w:t xml:space="preserve"> до </w:t>
      </w:r>
      <w:r>
        <w:rPr>
          <w:b/>
        </w:rPr>
        <w:t>17.00 за київським часом</w:t>
      </w:r>
      <w:r>
        <w:t>.</w:t>
      </w:r>
    </w:p>
    <w:p w:rsidR="005519F8" w:rsidRDefault="005519F8">
      <w:pPr>
        <w:tabs>
          <w:tab w:val="righ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</w:p>
    <w:p w:rsidR="005519F8" w:rsidRDefault="00E07AEB">
      <w:pPr>
        <w:spacing w:after="0" w:line="240" w:lineRule="auto"/>
        <w:jc w:val="both"/>
      </w:pPr>
      <w:r>
        <w:rPr>
          <w:b/>
        </w:rPr>
        <w:t>І. Технічне завдання (ТЗ)</w:t>
      </w:r>
    </w:p>
    <w:p w:rsidR="005519F8" w:rsidRDefault="005519F8">
      <w:pPr>
        <w:spacing w:after="0" w:line="240" w:lineRule="auto"/>
        <w:rPr>
          <w:b/>
        </w:rPr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>Передумови та опис програми</w:t>
      </w:r>
    </w:p>
    <w:p w:rsidR="005519F8" w:rsidRDefault="00E07AEB">
      <w:pPr>
        <w:spacing w:after="0" w:line="240" w:lineRule="auto"/>
        <w:jc w:val="both"/>
      </w:pPr>
      <w:r>
        <w:t>З 2015 року UNFPA впроваджує національну програму з протидії та запобігання гендерно зумовленому насиль</w:t>
      </w:r>
      <w:r>
        <w:t xml:space="preserve">ству (ГЗН). У межах програми створюються, зміцнюються і вдосконалюються національні механізми протидії і запобігання насильству. Робота програми зосереджена на чотирьох напрямках: 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spacing w:after="0" w:line="240" w:lineRule="auto"/>
        <w:ind w:firstLine="720"/>
        <w:jc w:val="both"/>
      </w:pPr>
      <w:r>
        <w:t>1. Розробка та вдосконалення законодавчої бази та національної політики.</w:t>
      </w:r>
    </w:p>
    <w:p w:rsidR="005519F8" w:rsidRDefault="00E07AEB">
      <w:pPr>
        <w:spacing w:after="0" w:line="240" w:lineRule="auto"/>
        <w:ind w:firstLine="720"/>
        <w:jc w:val="both"/>
      </w:pPr>
      <w:r>
        <w:t>2</w:t>
      </w:r>
      <w:r>
        <w:t xml:space="preserve">. Налагодження міжвідомчої взаємодії на національному та місцевому рівнях. </w:t>
      </w:r>
    </w:p>
    <w:p w:rsidR="005519F8" w:rsidRDefault="00E07AEB">
      <w:pPr>
        <w:spacing w:after="0" w:line="240" w:lineRule="auto"/>
        <w:ind w:firstLine="720"/>
        <w:jc w:val="both"/>
      </w:pPr>
      <w:r>
        <w:t>3. Розбудова системи якісних послуг для постраждалих.</w:t>
      </w:r>
    </w:p>
    <w:p w:rsidR="005519F8" w:rsidRDefault="00E07AEB">
      <w:pPr>
        <w:spacing w:after="0" w:line="240" w:lineRule="auto"/>
        <w:ind w:firstLine="720"/>
        <w:jc w:val="both"/>
      </w:pPr>
      <w:r>
        <w:t>4. Підвищення обізнаності та зміна суспільного ставлення до проблеми насильства.</w:t>
      </w:r>
    </w:p>
    <w:p w:rsidR="005519F8" w:rsidRDefault="005519F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:rsidR="005519F8" w:rsidRDefault="00E07AE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У межах програми з протидії та запобігання г</w:t>
      </w:r>
      <w:r>
        <w:t>ендерно зумовленому насильству UNFPA впроваджує національну інформаційно-просвітницьку кампанію «Розірви коло» за підтримки уряду Великої Британії. Кампанія покликана інформувати українців про їх подальші дії, якщо вони стають свідками або зазнають ГЗН, до</w:t>
      </w:r>
      <w:r>
        <w:t>ступну допомогу та поради, як її отримати. Кампанія кидає виклик сприйняттям, які виправдовують ГЗН, і трансформує соціальні переконання, щоб до 2030 року в українському суспільстві була нульова толерантність до усіх проявів гендерно зумовленого насильства</w:t>
      </w:r>
      <w:r>
        <w:t>.</w:t>
      </w:r>
    </w:p>
    <w:p w:rsidR="005519F8" w:rsidRDefault="005519F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:rsidR="005519F8" w:rsidRDefault="00E07AE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Вебсайт кампанії </w:t>
      </w:r>
      <w:hyperlink r:id="rId8">
        <w:r>
          <w:rPr>
            <w:color w:val="0563C1"/>
            <w:u w:val="single"/>
          </w:rPr>
          <w:t>rozirvykolo.org</w:t>
        </w:r>
      </w:hyperlink>
      <w:r>
        <w:rPr>
          <w:color w:val="000000"/>
        </w:rPr>
        <w:t> та сторінки в соцмережах у </w:t>
      </w:r>
      <w:hyperlink r:id="rId9">
        <w:r>
          <w:rPr>
            <w:color w:val="0563C1"/>
            <w:u w:val="single"/>
          </w:rPr>
          <w:t>Facebook</w:t>
        </w:r>
      </w:hyperlink>
      <w:r>
        <w:rPr>
          <w:color w:val="000000"/>
        </w:rPr>
        <w:t> та </w:t>
      </w:r>
      <w:hyperlink r:id="rId10">
        <w:r>
          <w:rPr>
            <w:color w:val="0563C1"/>
            <w:u w:val="single"/>
          </w:rPr>
          <w:t>Instagram</w:t>
        </w:r>
      </w:hyperlink>
      <w:r>
        <w:rPr>
          <w:color w:val="000000"/>
        </w:rPr>
        <w:t> щодня допом</w:t>
      </w:r>
      <w:r>
        <w:rPr>
          <w:color w:val="000000"/>
        </w:rPr>
        <w:t xml:space="preserve">агають тисячам українок та українців отримувати поради, як розірвати коло насильства. </w:t>
      </w:r>
    </w:p>
    <w:p w:rsidR="005519F8" w:rsidRDefault="00E07AE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Щорічно кампанія заохочує близько 15 мільйонів людей не терпіти насильство. Станом на 2021 рік про кампанію “Розірви коло” знав(ла) кожен(на) 3-й українець(ка).</w:t>
      </w:r>
    </w:p>
    <w:p w:rsidR="005519F8" w:rsidRDefault="005519F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:rsidR="005519F8" w:rsidRDefault="00E07AE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Більше інформації про кампанію «Розірви коло» дізнавайтеся у </w:t>
      </w:r>
      <w:hyperlink r:id="rId11">
        <w:r>
          <w:rPr>
            <w:color w:val="2F5496"/>
            <w:u w:val="single"/>
          </w:rPr>
          <w:t>відео</w:t>
        </w:r>
      </w:hyperlink>
      <w:r>
        <w:rPr>
          <w:color w:val="2F5496"/>
          <w:u w:val="single"/>
        </w:rPr>
        <w:t>.</w:t>
      </w:r>
    </w:p>
    <w:p w:rsidR="005519F8" w:rsidRDefault="005519F8">
      <w:pPr>
        <w:spacing w:after="0" w:line="240" w:lineRule="auto"/>
        <w:ind w:firstLine="708"/>
        <w:jc w:val="both"/>
      </w:pPr>
    </w:p>
    <w:p w:rsidR="005519F8" w:rsidRDefault="00E07AEB">
      <w:pPr>
        <w:spacing w:after="0" w:line="240" w:lineRule="auto"/>
        <w:jc w:val="both"/>
      </w:pPr>
      <w:r>
        <w:t>У межах кампанії особливе місце належить спеціальним активностям до глобальної акції «16 днів активізму проти гендерно зумовленого насильст</w:t>
      </w:r>
      <w:r>
        <w:t>ва».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spacing w:after="0" w:line="240" w:lineRule="auto"/>
        <w:jc w:val="both"/>
      </w:pPr>
      <w:r>
        <w:rPr>
          <w:b/>
        </w:rPr>
        <w:t>«16 днів активізму проти гендерно зумовленого насильства»</w:t>
      </w:r>
      <w:r>
        <w:t xml:space="preserve"> – це кампанія, яка проводиться щороку в більшості країн світу. Вона починається 25 листопада, з Міжнародного дня ліквідації насильства щодо жінок, і триває до 10 грудня, Дня прав людини. Кампа</w:t>
      </w:r>
      <w:r>
        <w:t>нія консолідує людей та організації в усьому світі та закликає до запобігання та викорінення насильства щодо жінок і дівчат.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spacing w:after="0" w:line="240" w:lineRule="auto"/>
        <w:jc w:val="both"/>
      </w:pPr>
      <w:r>
        <w:t>Щороку UNFPA проводить в Україні ряд активностей на національному та локальному рівнях у межах даної акції. На національному рівні UNFPA ініціював такі активності до «16 днів активізму проти гендерно зумовленого насильства»:</w:t>
      </w:r>
    </w:p>
    <w:p w:rsidR="005519F8" w:rsidRDefault="00E07A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вистава у партнерстві з театром</w:t>
      </w:r>
      <w:r>
        <w:rPr>
          <w:color w:val="000000"/>
        </w:rPr>
        <w:t xml:space="preserve"> “Дикий” — </w:t>
      </w:r>
      <w:hyperlink r:id="rId12">
        <w:r>
          <w:rPr>
            <w:color w:val="0563C1"/>
            <w:u w:val="single"/>
          </w:rPr>
          <w:t>“Жінко, сядь!”</w:t>
        </w:r>
      </w:hyperlink>
    </w:p>
    <w:p w:rsidR="005519F8" w:rsidRDefault="00E07A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колаборація з українським брендом ювелірних прикрас Dari Jewelry — </w:t>
      </w:r>
      <w:hyperlink r:id="rId13">
        <w:r>
          <w:rPr>
            <w:color w:val="0563C1"/>
            <w:u w:val="single"/>
          </w:rPr>
          <w:t>лімітована серія браслетів підтримки “Знак турботи” та “Ти щастя”</w:t>
        </w:r>
      </w:hyperlink>
    </w:p>
    <w:p w:rsidR="005519F8" w:rsidRDefault="00E07A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проєкт </w:t>
      </w:r>
      <w:hyperlink r:id="rId14">
        <w:r>
          <w:rPr>
            <w:color w:val="0563C1"/>
            <w:u w:val="single"/>
          </w:rPr>
          <w:t>"Річ у тім"</w:t>
        </w:r>
      </w:hyperlink>
      <w:r>
        <w:rPr>
          <w:color w:val="000000"/>
        </w:rPr>
        <w:t xml:space="preserve">, а також його </w:t>
      </w:r>
      <w:r>
        <w:rPr>
          <w:color w:val="000000"/>
        </w:rPr>
        <w:t xml:space="preserve">продовження </w:t>
      </w:r>
      <w:hyperlink r:id="rId15">
        <w:r>
          <w:rPr>
            <w:color w:val="0563C1"/>
            <w:u w:val="single"/>
          </w:rPr>
          <w:t>Річ у тім 2.0</w:t>
        </w:r>
      </w:hyperlink>
      <w:r>
        <w:rPr>
          <w:color w:val="000000"/>
        </w:rPr>
        <w:t>,</w:t>
      </w:r>
    </w:p>
    <w:p w:rsidR="005519F8" w:rsidRDefault="00E07AE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документальний фільм </w:t>
      </w:r>
      <w:hyperlink r:id="rId16">
        <w:r>
          <w:rPr>
            <w:color w:val="1155CC"/>
            <w:u w:val="single"/>
          </w:rPr>
          <w:t>“Розірви коло”</w:t>
        </w:r>
      </w:hyperlink>
      <w:r>
        <w:rPr>
          <w:color w:val="1155CC"/>
        </w:rPr>
        <w:t xml:space="preserve"> </w:t>
      </w:r>
      <w:r>
        <w:rPr>
          <w:color w:val="000000"/>
        </w:rPr>
        <w:t>в співавторстві з Почесною Амбасадоркою UNFPA  Машою Єфросиніною</w:t>
      </w:r>
      <w:r>
        <w:rPr>
          <w:color w:val="000000"/>
        </w:rPr>
        <w:t xml:space="preserve"> (після національної прем’єри в Києві 16 листопада 2021, покази фільму відбулися у 21 місті України у період акції «16 днів активізму проти гендерно зумовленого насильства).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Головне ключове повідомлення всіх активностей – «Розірви коло – насильство не є нормою». 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На рівні громад UNFPA організовує активності, які покликані мобілізувати членів громад у боротьбі з гендерно зумовленим насильством та продемонструвати підтримку усі</w:t>
      </w:r>
      <w:r>
        <w:rPr>
          <w:color w:val="000000"/>
        </w:rPr>
        <w:t xml:space="preserve">м, хто веде цю боротьбу (насамперед постраждалим від домашнього насильства, яке є однією з найбільш поширених форм гендерно зумовленого насильства). 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519F8" w:rsidRDefault="00E07AEB">
      <w:pPr>
        <w:spacing w:after="0" w:line="240" w:lineRule="auto"/>
        <w:jc w:val="both"/>
      </w:pPr>
      <w:r>
        <w:t>Зокрема, у 2021 році в тридцяти містах і громадах-учасниках проєкту UNFPA Україна «Міста і громади, вільн</w:t>
      </w:r>
      <w:r>
        <w:t>і від домашнього насильства» жителі створювали унікальні маніфести проти домашнього насильства. Меседжі цих маніфестів надалі стали зовнішньою рекламою у цих же містах і громадах (втілено у лютому 2022). Також у цих же містах і громадах упродовж кампанії в</w:t>
      </w:r>
      <w:r>
        <w:t xml:space="preserve">ідбулися покази документального фільму </w:t>
      </w:r>
      <w:hyperlink r:id="rId17">
        <w:r>
          <w:rPr>
            <w:color w:val="1155CC"/>
            <w:u w:val="single"/>
          </w:rPr>
          <w:t>“Розірви коло”</w:t>
        </w:r>
      </w:hyperlink>
      <w:r>
        <w:t xml:space="preserve"> про шлях постраждалих від домашнього насильства.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В умовах війні ризик домашнього і гендерно зумовленого насильства суттєво підви</w:t>
      </w:r>
      <w:r>
        <w:t xml:space="preserve">щився у зв’язку зі стрімкими змінами, підвищеним психоемоційним напруженням, невизначеністю, переживаннями щодо майбутнього, втратою економічних можливостей, вимушеним переїздом чи обмеженням руху. </w:t>
      </w:r>
      <w:r>
        <w:rPr>
          <w:color w:val="000000"/>
        </w:rPr>
        <w:t>Водночас постраждалі знецінюють питання особистої небезпек</w:t>
      </w:r>
      <w:r>
        <w:rPr>
          <w:color w:val="000000"/>
        </w:rPr>
        <w:t xml:space="preserve">и на фоні загальнонаціональних викликів. Постраждалі та люди з їх оточення можуть хибно вважати, що шукати допомоги та боротися з домашнім чи гендерно зумовленим насильством наразі «не на часі», поки триває війна. 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Масштабні руйнування, людські втрати, тр</w:t>
      </w:r>
      <w:r>
        <w:rPr>
          <w:color w:val="000000"/>
        </w:rPr>
        <w:t>ивоги та «прильоти» формують основний масив інформації, в якому щоденно живуть українці, а жахіття воєнних злочинів ворога продовжують травмувати свідомість і розширювати межі того, що ще донедавна вважалось абсолютно немислимим. Війна завдає суттєвої шкод</w:t>
      </w:r>
      <w:r>
        <w:rPr>
          <w:color w:val="000000"/>
        </w:rPr>
        <w:t xml:space="preserve">и психічному здоров’ю кожного українця та українки. 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Неминуче формується тривожна тенденція нормалізації насильства у суспільному сприйнятті як механізм захисту психіки від потрясінь. Це може призвести до того, що домашнє насильство не буде вважатись проб</w:t>
      </w:r>
      <w:r>
        <w:rPr>
          <w:color w:val="000000"/>
        </w:rPr>
        <w:t xml:space="preserve">лемою ані постраждалими, ані їх оточенням, свідками і суспільством. Своєю чергою, це призведе до того, що ризик домашнього насильства суттєво зросте. Українське суспільство може втратити той значний прогрес у формуванні нетерпимого ставлення до насильства </w:t>
      </w:r>
      <w:r>
        <w:rPr>
          <w:color w:val="000000"/>
        </w:rPr>
        <w:t xml:space="preserve">з 2015 року, а з ним і можливості жити краще навіть по завершенні війни. 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Водночас війна змушує переосмислювати переконання і пріоритети, а також більше цінувати життя, свободу, мир і безпеку. Це час трансформаційних змін і можливість покласти початок нов</w:t>
      </w:r>
      <w:r>
        <w:rPr>
          <w:color w:val="000000"/>
        </w:rPr>
        <w:t xml:space="preserve">им ідеям, звичкам і поведінці, яка допоможе будувати життя так, як бажає серце, а не змушують обставини чи кривдники. Це можливість сказати домашньому та гендерно зумовленому насильству категоричне «ні». 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Кампанія «Розірви коло» трансформується, щоб допом</w:t>
      </w:r>
      <w:r>
        <w:rPr>
          <w:color w:val="000000"/>
        </w:rPr>
        <w:t xml:space="preserve">огти українцям та українкам сформувати нові переконання, розуміння та поведінку, які дозволять побудувати життя, вільне від будь-яких проявів насильства. 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spacing w:after="0" w:line="240" w:lineRule="auto"/>
        <w:jc w:val="both"/>
      </w:pPr>
      <w:r>
        <w:t>У межах «16 днів активізму проти гендерно зумовленого насильства» у 52 містах і громадах UNFPA плану</w:t>
      </w:r>
      <w:r>
        <w:t xml:space="preserve">є втілити креативні активності, щоб мотивувати громади не толерувати насильство за будь-яких умов і надавати підтримку усім, хто її потребує.  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>II. Методологія</w:t>
      </w:r>
    </w:p>
    <w:p w:rsidR="005519F8" w:rsidRDefault="005519F8">
      <w:pPr>
        <w:spacing w:after="0" w:line="240" w:lineRule="auto"/>
        <w:jc w:val="both"/>
        <w:rPr>
          <w:b/>
        </w:rPr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>Обсяг роботи</w:t>
      </w:r>
    </w:p>
    <w:p w:rsidR="005519F8" w:rsidRDefault="00E07AEB">
      <w:pPr>
        <w:spacing w:after="0" w:line="240" w:lineRule="auto"/>
        <w:jc w:val="both"/>
      </w:pPr>
      <w:r>
        <w:t>Очікується, що обраний постачальник послуг: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  <w:r>
        <w:rPr>
          <w:color w:val="000000"/>
        </w:rPr>
        <w:t xml:space="preserve">1. Розробить концепцію трьох типів креативних активностей для втілення у громадах у межах «16 днів активізму проти гендерно зумовленого насильства». </w:t>
      </w: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  <w:r>
        <w:rPr>
          <w:color w:val="000000"/>
        </w:rPr>
        <w:t>2. Втілить запропоновані та з</w:t>
      </w:r>
      <w:r>
        <w:t xml:space="preserve">атверджені активності </w:t>
      </w:r>
      <w:r>
        <w:rPr>
          <w:color w:val="000000"/>
        </w:rPr>
        <w:t xml:space="preserve">у громадах з 25 листопада по 10 грудня 2022. 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</w:rPr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>1. Розро</w:t>
      </w:r>
      <w:r>
        <w:rPr>
          <w:b/>
        </w:rPr>
        <w:t xml:space="preserve">бка концепції трьох типів креативних активностей для втілення у громадах у межах «16 днів активізму проти гендерно зумовленого насильства» </w:t>
      </w:r>
      <w:r>
        <w:t>передбачає:</w:t>
      </w:r>
    </w:p>
    <w:p w:rsidR="005519F8" w:rsidRDefault="005519F8">
      <w:pPr>
        <w:spacing w:after="0" w:line="240" w:lineRule="auto"/>
        <w:jc w:val="both"/>
        <w:rPr>
          <w:b/>
        </w:rPr>
      </w:pPr>
    </w:p>
    <w:p w:rsidR="005519F8" w:rsidRDefault="00E07AEB">
      <w:pPr>
        <w:spacing w:after="0" w:line="240" w:lineRule="auto"/>
        <w:ind w:left="360"/>
        <w:jc w:val="both"/>
        <w:rPr>
          <w:i/>
        </w:rPr>
      </w:pPr>
      <w:r>
        <w:rPr>
          <w:i/>
        </w:rPr>
        <w:t xml:space="preserve">1.1. Розробку концепції комплексної активності для втілення у громадах-учасниках проєкту UNFPA «Міста і громади, вільні від домашнього насильства», які розбудовують системи протидії та запобігання домашньому насильству (коротко – «громади»). </w:t>
      </w:r>
    </w:p>
    <w:p w:rsidR="005519F8" w:rsidRDefault="005519F8">
      <w:pPr>
        <w:spacing w:after="0" w:line="240" w:lineRule="auto"/>
        <w:ind w:left="360"/>
        <w:jc w:val="both"/>
      </w:pP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З 2020 року </w:t>
      </w:r>
      <w:r>
        <w:rPr>
          <w:color w:val="000000"/>
        </w:rPr>
        <w:t xml:space="preserve">UNFPA допомагає 30 громадам будувати ефективні системи протидії та запобігання </w:t>
      </w:r>
      <w:r>
        <w:t>домашньому насильству</w:t>
      </w:r>
      <w:r>
        <w:rPr>
          <w:color w:val="000000"/>
        </w:rPr>
        <w:t xml:space="preserve"> та протягом 3 років надає комплексну підтримку цьому процесу. В умовах повномасштабної війни фокус змістився на підтримання досягнутого прогресу у громадах</w:t>
      </w:r>
      <w:r>
        <w:rPr>
          <w:color w:val="000000"/>
        </w:rPr>
        <w:t xml:space="preserve"> і ширшої мобілізації громади запобігати випадкам домашнього насильства. Для втілення роботи з запобігання </w:t>
      </w:r>
      <w:r>
        <w:rPr>
          <w:color w:val="000000"/>
        </w:rPr>
        <w:lastRenderedPageBreak/>
        <w:t>домашньому насильству UNFPA провів соціологічне опитування громадської думки з питань домашнього та гендерно зумовленого насильства у кожній з 30 пар</w:t>
      </w:r>
      <w:r>
        <w:rPr>
          <w:color w:val="000000"/>
        </w:rPr>
        <w:t xml:space="preserve">тнерських громад, репрезентативне населенню громади. </w:t>
      </w: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Польова частина дослідження проводилася протягом грудня 2021 року – лютого 2022 року. За результатами дослідження було підготовлено 30 окремих звітів для кожної громади та загальний звіт з результатами </w:t>
      </w:r>
      <w:r>
        <w:t>опитування з компаративним аналізом цільових громад.</w:t>
      </w: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Презентація результатів цього дослідження у кожній громаді планувалася на весну 2022 року, проте через початок повномасштабної війни Росії проти України презентація не відбулася. Дослідження не публікува</w:t>
      </w:r>
      <w:r>
        <w:t>лось у будь-якому форматі. UNFPA надасть результати дослідження обраному постачальнику послуг для розробки концепції активності.</w:t>
      </w:r>
    </w:p>
    <w:p w:rsidR="005519F8" w:rsidRDefault="00E07AEB">
      <w:pPr>
        <w:spacing w:after="0" w:line="240" w:lineRule="auto"/>
        <w:jc w:val="both"/>
      </w:pPr>
      <w:r>
        <w:rPr>
          <w:b/>
        </w:rPr>
        <w:t>Цільові громади:</w:t>
      </w:r>
      <w:r>
        <w:t xml:space="preserve"> </w:t>
      </w:r>
      <w:r>
        <w:rPr>
          <w:color w:val="000000"/>
        </w:rPr>
        <w:t>К</w:t>
      </w:r>
      <w:r>
        <w:t>иїв, Львів, Харків, Одеса, Миколаїв, Запоріжжя, Полтава, Дніпро, Вінниця, Тернопіль, Ужгород, Черкаси, Херсон</w:t>
      </w:r>
      <w:r>
        <w:t xml:space="preserve">, Мелітополь, Кропивницький, Костянтинівка, Краматорськ, Кременчук, Покровськ, Сєвєродонецьк, Авангард, Біла Церква, Добропілля (Донецька область), Калуш, Лубни, Маріуполь, Рокитне, Старокостянтинів, Хорошів, Хотин. 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Планована комплексна активність у межах «16 днів активізму проти гендерно зумовленого насильства» має органічно інкорпорувати презентацію результатів дослідження та ознайомлення членів громади з ними в інтерактивний спосіб. Крім того, активність має залучи</w:t>
      </w:r>
      <w:r>
        <w:t>ти якнайбільшу кількість жителів громади, бути цікавою для жінок і чоловіків усіх вікових груп.</w:t>
      </w: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Формат активності має бути </w:t>
      </w:r>
      <w:r>
        <w:rPr>
          <w:b/>
        </w:rPr>
        <w:t>однаковим</w:t>
      </w:r>
      <w:r>
        <w:t xml:space="preserve"> для усіх 30 громад </w:t>
      </w:r>
      <w:r>
        <w:rPr>
          <w:i/>
        </w:rPr>
        <w:t>(крім тих, які є тимчасово окупованими)</w:t>
      </w:r>
      <w:r>
        <w:t>, щоб об’єднати їх та посилити відчуття спільноти у межах проєкту</w:t>
      </w:r>
      <w:r>
        <w:t xml:space="preserve"> «Міста і громади, вільні від домашнього насильства». </w:t>
      </w: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Вітається креативна ідея проведення активності для безпечного залучення представників громад, які є тимчасово окупованими на момент втілення роботи у межах даного ТЗ.</w:t>
      </w: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Активність має мати урочистий стар</w:t>
      </w:r>
      <w:r>
        <w:t xml:space="preserve">т 25 листопада (відкриття за участі представників влади громади, громадських організацій, представників громади) і тривати до кінця акції «16 днів активізму проти гендерно зумовленого насильства» (10 грудня). </w:t>
      </w: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Бажано, щоб активність у межах «16 днів активі</w:t>
      </w:r>
      <w:r>
        <w:t xml:space="preserve">зму проти гендерно зумовленого насильства» мала потенціал для продовження по завершенні акції (як приклад, у 2021 році постери-маніфести, які були створені представниками громад-партнерів UNFPA у межах «16 днів» стали зовнішньою рекламою у цих же містах і </w:t>
      </w:r>
      <w:r>
        <w:t xml:space="preserve">громадах у лютому 2022). </w:t>
      </w: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Активність має відповідати ключовим підходам кампанії «Розірви коло» * та рекомендаціям для втілення заходів у межах «16 днів активізму проти гендерно зумовленого насильства»**. 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</w:pPr>
    </w:p>
    <w:p w:rsidR="005519F8" w:rsidRDefault="00E07AE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* Ключові підходи кампанії «Розірви коло» </w:t>
      </w:r>
    </w:p>
    <w:p w:rsidR="005519F8" w:rsidRDefault="005519F8">
      <w:pPr>
        <w:spacing w:after="0" w:line="240" w:lineRule="auto"/>
        <w:jc w:val="both"/>
        <w:rPr>
          <w:b/>
        </w:rPr>
      </w:pPr>
    </w:p>
    <w:p w:rsidR="005519F8" w:rsidRDefault="00E0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Насильство не можна подолати насильством, тому ніякої агресії та закликів до неї у межах кампанії («дай відповідь чи дай здачі кривднику» та подібні висловлювання/меседжі є неприйнятними).</w:t>
      </w:r>
    </w:p>
    <w:p w:rsidR="005519F8" w:rsidRDefault="00E0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Чутливість до постраждалих та зменшення ризику їх травматизації – м</w:t>
      </w:r>
      <w:r>
        <w:rPr>
          <w:color w:val="000000"/>
        </w:rPr>
        <w:t>и не говоримо «жертва», а «постраждала особа»; не використовуємо фотографії чи картинки зі сценами насильства чи його наслідками (жінок, чоловіків чи дітей з синцями або ранами, у сльозах чи з виразами страждань, болю або розпачу на обличчях). Ми знаємо, щ</w:t>
      </w:r>
      <w:r>
        <w:rPr>
          <w:color w:val="000000"/>
        </w:rPr>
        <w:t xml:space="preserve">о це може нагадати постраждалим про пережитий досвід і завдати шкоди їх відновленню. </w:t>
      </w:r>
    </w:p>
    <w:p w:rsidR="005519F8" w:rsidRDefault="00E0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lastRenderedPageBreak/>
        <w:t>Відмова від прийомів, що шокують, маніпулюють або викликають негативні переживання. Життя, в якому є насильство, і так сповнене страждань.</w:t>
      </w:r>
    </w:p>
    <w:p w:rsidR="005519F8" w:rsidRDefault="00E0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Однозначне і безкомпромісне роз</w:t>
      </w:r>
      <w:r>
        <w:rPr>
          <w:color w:val="000000"/>
        </w:rPr>
        <w:t>уміння, що кривдник несе повну відповідальність за випадок домашнього і гендерно зумовленого насильства. У домашнього і гендерно зумовленого насильства немає виправдань. Ми не використовуємо конструкції, що можуть трактуватися неоднозначно, натякають або є</w:t>
      </w:r>
      <w:r>
        <w:rPr>
          <w:color w:val="000000"/>
        </w:rPr>
        <w:t xml:space="preserve"> прямим звинуваченням постраждалої або очевидця в бездіяльності, наприклад: “Якби ти не провокувала, він би не вдарив”, “Якби ти не мовчала, це не повторилося б знову”, “Якби ти не сумнівався, що твій дзвінок важливий, вона могла б жити”.</w:t>
      </w:r>
    </w:p>
    <w:p w:rsidR="005519F8" w:rsidRDefault="00E0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Фокус на </w:t>
      </w:r>
      <w:r>
        <w:rPr>
          <w:b/>
          <w:color w:val="000000"/>
        </w:rPr>
        <w:t>конструк</w:t>
      </w:r>
      <w:r>
        <w:rPr>
          <w:b/>
          <w:color w:val="000000"/>
        </w:rPr>
        <w:t>тивних</w:t>
      </w:r>
      <w:r>
        <w:rPr>
          <w:color w:val="000000"/>
        </w:rPr>
        <w:t xml:space="preserve"> меседжах, образах і твердженнях – ми не просто розриваємо коло насильства, ми будуємо суспільство, вільне від насильства. </w:t>
      </w:r>
    </w:p>
    <w:p w:rsidR="005519F8" w:rsidRDefault="00E0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Використання простої, зрозумілої позитивної, стверджувальної або нейтрально забарвленої гендерно чутливої лексики.</w:t>
      </w:r>
    </w:p>
    <w:p w:rsidR="005519F8" w:rsidRDefault="00E0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Залучення л</w:t>
      </w:r>
      <w:r>
        <w:t>ідерів/-ок думок до активностей кампанії відбувається лише на некомерційній основі.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**Рекомендації UNFPA до втілення заходів у межах «16 днів активізму проти гендерно зумовленого насильства»</w:t>
      </w:r>
    </w:p>
    <w:p w:rsidR="005519F8" w:rsidRDefault="005519F8">
      <w:pPr>
        <w:spacing w:after="0" w:line="240" w:lineRule="auto"/>
        <w:jc w:val="both"/>
        <w:rPr>
          <w:b/>
        </w:rPr>
      </w:pPr>
    </w:p>
    <w:p w:rsidR="005519F8" w:rsidRDefault="00E0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Акція «16 днів активізму проти гендерно зумовлене насильство» в</w:t>
      </w:r>
      <w:r>
        <w:rPr>
          <w:color w:val="000000"/>
        </w:rPr>
        <w:t xml:space="preserve">ирізняється саме фокусом на </w:t>
      </w:r>
      <w:r>
        <w:rPr>
          <w:b/>
          <w:color w:val="000000"/>
        </w:rPr>
        <w:t>активізмі</w:t>
      </w:r>
      <w:r>
        <w:rPr>
          <w:color w:val="000000"/>
        </w:rPr>
        <w:t xml:space="preserve"> – активній участі членів громади, вирішальній ролі активній позиції кожного представника і кожної представниці громади у подоланні усіх форм насильства. </w:t>
      </w:r>
    </w:p>
    <w:p w:rsidR="005519F8" w:rsidRDefault="00E0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Акція має мати конструктивний меседж і формат (слід утриматись в</w:t>
      </w:r>
      <w:r>
        <w:t xml:space="preserve">ід дій деструктивного характеру – ламання, розбивання, нівечення тощо – навіть у метафоричному значенні). </w:t>
      </w:r>
    </w:p>
    <w:p w:rsidR="005519F8" w:rsidRDefault="00E0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Заходи у межах акції втілюються цілісно та комплексно, ніби «перетікають» один в одне, для формування єдиного інформаційного поля, посилення меседжів</w:t>
      </w:r>
      <w:r>
        <w:t xml:space="preserve"> акції та сприяння переосмислення стереотипів і норм, які виправдовують гендерно зумовлене насильство. </w:t>
      </w:r>
    </w:p>
    <w:p w:rsidR="005519F8" w:rsidRDefault="00E0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Заходи втілюються офлайн та онлайн для ширшого залучення членів громади, але офлайн заходи є центральними для акції. </w:t>
      </w:r>
    </w:p>
    <w:p w:rsidR="005519F8" w:rsidRDefault="00E07A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Заходи є креативними, інтерактивни</w:t>
      </w:r>
      <w:r>
        <w:t xml:space="preserve">ми та цікавими для участі жінок і чоловіків усіх вікових груп та викликають в учасників бажання поділитись своєю участю з іншими, щоб поширити інформацію про акцію. 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519F8" w:rsidRDefault="00E07AEB">
      <w:pPr>
        <w:spacing w:after="0" w:line="240" w:lineRule="auto"/>
        <w:ind w:left="360"/>
        <w:jc w:val="both"/>
        <w:rPr>
          <w:i/>
        </w:rPr>
      </w:pPr>
      <w:r>
        <w:rPr>
          <w:i/>
        </w:rPr>
        <w:t xml:space="preserve">1.2. Розробку концепції активності для втілення у 30 містах, в яких UNFPA формує мережу ключових сервісів підтримки постраждалих від домашнього та гендерно зумовленого насильства (коротко – «міста»). </w:t>
      </w:r>
    </w:p>
    <w:p w:rsidR="005519F8" w:rsidRDefault="005519F8">
      <w:pPr>
        <w:spacing w:after="0" w:line="240" w:lineRule="auto"/>
        <w:ind w:left="360"/>
        <w:jc w:val="both"/>
      </w:pPr>
    </w:p>
    <w:p w:rsidR="005519F8" w:rsidRDefault="00E07AEB">
      <w:pPr>
        <w:spacing w:after="0" w:line="240" w:lineRule="auto"/>
        <w:jc w:val="both"/>
      </w:pPr>
      <w:r>
        <w:t>У відповідь на гуманітарну кризу, спричинену повномасш</w:t>
      </w:r>
      <w:r>
        <w:t>табним вторгненням Росії в Україну, UNFPA розширив географію своєї діяльності, щоб покращити доступ постраждалих від домашнього та гендерно зумовленого насильства та людей у зоні ризику до якісної допомоги. У липні 2022 року у 30 українських містах UNFPA р</w:t>
      </w:r>
      <w:r>
        <w:t xml:space="preserve">озпочав створення мережі ключових сервісів підтримки. 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spacing w:after="0" w:line="240" w:lineRule="auto"/>
        <w:jc w:val="both"/>
      </w:pPr>
      <w:r>
        <w:rPr>
          <w:b/>
        </w:rPr>
        <w:t>Цільові міста:</w:t>
      </w:r>
      <w:r>
        <w:t xml:space="preserve"> Білгород-Дністровський, Ізмаїл, Бориспіль, Бровари, Дрогобич, Житомир, Жмеринка, Івано-Франківськ, Ірпінь, Кам'янець-Подільський, Кам'янське, Ковель, Конотоп, Коростень, Кривий Ріг, Луц</w:t>
      </w:r>
      <w:r>
        <w:t>ьк, Ніжин, Олександрія, Павлоград, Первомайськ, Рівне, Стрий, Суми, Умань, Фастів, Хмельницький, Хуст, Червоноград, Чернівці, Чернігів.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Формат активності має бути </w:t>
      </w:r>
      <w:r>
        <w:rPr>
          <w:b/>
        </w:rPr>
        <w:t>однаковим</w:t>
      </w:r>
      <w:r>
        <w:t xml:space="preserve"> для усіх 30 міст.</w:t>
      </w: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lastRenderedPageBreak/>
        <w:t xml:space="preserve">Активність має мати урочистий старт 25 листопада (відкриття за участі представників влади громади, громадських організацій, представників громади) і тривати до кінця акції «16 днів активізму проти гендерно зумовленого насильства» (10 грудня). </w:t>
      </w: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Бажано, щоб </w:t>
      </w:r>
      <w:r>
        <w:t xml:space="preserve">активність у межах «16 днів активізму проти гендерно зумовленого насильства» мала потенціал для продовження по завершенні акції (як приклад, використовувалась для інформаційних кампаній у містах). </w:t>
      </w: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Активність має відповідати ключовим підходам кампанії «Роз</w:t>
      </w:r>
      <w:r>
        <w:t xml:space="preserve">ірви коло»* та рекомендаціям для втілення заходів у межах «16 днів активізму проти гендерно зумовленого насильства»**. 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519F8" w:rsidRDefault="00E07AEB">
      <w:pPr>
        <w:spacing w:after="0" w:line="240" w:lineRule="auto"/>
        <w:ind w:left="360"/>
        <w:jc w:val="both"/>
        <w:rPr>
          <w:i/>
        </w:rPr>
      </w:pPr>
      <w:r>
        <w:rPr>
          <w:i/>
        </w:rPr>
        <w:t>1.3. Розробку концепції активності для втілення спеціалістами мобільних бригад соціально-психологічної допомоги (коротко мобільними бри</w:t>
      </w:r>
      <w:r>
        <w:rPr>
          <w:i/>
        </w:rPr>
        <w:t xml:space="preserve">гадами). 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У квітні 2022 року UNFPA сформував мобільні бригади соціально-психологічної допомоги для надання безоплатної соціально-психологічної допомоги особам незалежно від статі та статусу перебування у громадах, тобто і мешканкам/-цям місцевих громад, і внутрішньо</w:t>
      </w:r>
      <w:r>
        <w:t xml:space="preserve"> переміщеним особам, що перебувають на території цих громад через бойові дії.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Мобільні бригади надають психологічну допомогу особам, які постраждали від гендерно зумовленого насильства; реагують на повідомлення про випадки насильства, зокрема шляхом кризо</w:t>
      </w:r>
      <w:r>
        <w:t>вого й екстреного втручання; інформують постраждалих осіб про медичні, юридичні та інші послуги, які можна отримати для подолання наслідків насильства, а також про надавачів таких послуг, зокрема про загальні або спеціалізовані служби підтримки постраждали</w:t>
      </w:r>
      <w:r>
        <w:t xml:space="preserve">х осіб (притулки, кризові кімнати, денні центри та інші); роз’яснюють постраждалим особам їхні прав та можливості отримання допомоги; та проводять інформаційно-просвітницьку діяльність у громадах. 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До складу кожної з мобільних бригад входять два фахівці/-</w:t>
      </w:r>
      <w:r>
        <w:t>чині (психолог/-иня, соціальний/-а працівник/-ця), а також водій з автомобілем.</w:t>
      </w: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 </w:t>
      </w: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Загалом у 21 області України працює 101 мобільна бригада соціально-психологічної допомоги постраждалим від домашнього та гендерно зумовленого насильства (детальніше про геогр</w:t>
      </w:r>
      <w:r>
        <w:t xml:space="preserve">афію їх роботи та контакти – </w:t>
      </w:r>
      <w:hyperlink r:id="rId18">
        <w:r>
          <w:rPr>
            <w:b/>
            <w:color w:val="0563C1"/>
            <w:u w:val="single"/>
          </w:rPr>
          <w:t>на сайті UNFPA</w:t>
        </w:r>
      </w:hyperlink>
      <w:r>
        <w:t xml:space="preserve">). 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Очікується, що обраний постачальник розробить концепцію дуже простої, легкої у виконанні та інтерактивної активності, яку будуть втілювати фахі</w:t>
      </w:r>
      <w:r>
        <w:t>вці 101 мобільної бригади UNFPA у різних локаціях в межах географії своєї роботи у період з 25 листопада по 10 грудня для підвищення обізнаності громад щодо неприйнятності гендерно зумовленого насильства та заохочення звертатись за допомогою у випадках ген</w:t>
      </w:r>
      <w:r>
        <w:t xml:space="preserve">дерно зумовленого насильства. </w:t>
      </w: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Ця активність має бути легкою для втілення фахівцями без логістичної підтримки чи супроводу. </w:t>
      </w: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Очікується, що підрядник розробить концепцію такої активності та інструкцію до її втілення фахівцями мобільних бригад. </w:t>
      </w: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Формат акти</w:t>
      </w:r>
      <w:r>
        <w:t xml:space="preserve">вності має бути </w:t>
      </w:r>
      <w:r>
        <w:rPr>
          <w:b/>
        </w:rPr>
        <w:t xml:space="preserve">однаковою </w:t>
      </w:r>
      <w:r>
        <w:t xml:space="preserve">для усіх мобільних бригад, незалежно від географії їх роботи. </w:t>
      </w: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Активність має відповідати ключовим підходам кампанії «Розірви коло»*.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 xml:space="preserve">2. Втілення запропонованих і затверджених активностей у громадах з 25 листопада по 10 грудня 2022 </w:t>
      </w:r>
      <w:r>
        <w:t>передбачає:</w:t>
      </w:r>
      <w:r>
        <w:rPr>
          <w:b/>
        </w:rPr>
        <w:t xml:space="preserve"> 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Здійснення усіх робіт з виробництва та/чи закупівлі конструкцій, товарів і матеріалів, необхідних для втілення затверджених активностей у цільов</w:t>
      </w:r>
      <w:r>
        <w:rPr>
          <w:color w:val="000000"/>
        </w:rPr>
        <w:t>их громадах; транспортування та монтаж цих конструкцій, товарів і матеріалів у цільових громадах; організація запуску активностей (очікується, що після запуску 25 листопада активності не потребуватимуть логістичного супроводу і можуть підтримуватись предст</w:t>
      </w:r>
      <w:r>
        <w:rPr>
          <w:color w:val="000000"/>
        </w:rPr>
        <w:t>авниками громади (міська влада) протягом періоду акції «16 днів активізму проти гендерно зумовленого насильства» і по її завершенні (на розсуд влади громади).</w:t>
      </w: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</w:rPr>
      </w:pPr>
      <w:r>
        <w:rPr>
          <w:i/>
          <w:color w:val="000000"/>
        </w:rPr>
        <w:t>UNFPA забезпечить комунікацію з цільовими громадами (міською владою) та мобільними бригадами.</w:t>
      </w: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Ств</w:t>
      </w:r>
      <w:r>
        <w:rPr>
          <w:color w:val="000000"/>
        </w:rPr>
        <w:t>орення 3 коротких відео про втілення активностей – (1) у 30 цільових громадах проєкту «Міста і громади, вільні від домашнього насильства» (концепція 1.1. вище), (2) у 30 цільових містах (концепція 1.2. вище) та (3) мобільними бригадами (концепція 1.3. вище</w:t>
      </w:r>
      <w:r>
        <w:rPr>
          <w:color w:val="000000"/>
        </w:rPr>
        <w:t xml:space="preserve">). </w:t>
      </w:r>
    </w:p>
    <w:p w:rsidR="005519F8" w:rsidRDefault="00E07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Підготовка звіту про результати втілення активностей у цільових громадах з інформацією про охоплення аудиторії в кожній громаді, згідно з методологією UNFPA***. 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*** </w:t>
      </w:r>
    </w:p>
    <w:p w:rsidR="005519F8" w:rsidRDefault="00E07AEB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 підрахунку охоплення заходів UNFPA використовує зважені оцінки – кожному формату в</w:t>
      </w:r>
      <w:r>
        <w:rPr>
          <w:i/>
          <w:sz w:val="20"/>
          <w:szCs w:val="20"/>
        </w:rPr>
        <w:t xml:space="preserve">заємодії з цільовою аудиторією призначена певна вага залежно від (1) тривалості і глибини взаємодії та (2) потенціалу до непрямого поширення впливу (взаємодія з іншими людьми через тих, які зазнавали контакту з кампанією). Так, вага контакту кампанії з ЦА </w:t>
      </w:r>
      <w:r>
        <w:rPr>
          <w:i/>
          <w:sz w:val="20"/>
          <w:szCs w:val="20"/>
        </w:rPr>
        <w:t xml:space="preserve">під час офлайн заходів найвища – 3, а вага перегляду продуктів кампанії на телебаченні чи в соціальних мережах найнижча – 0.5. </w:t>
      </w:r>
    </w:p>
    <w:p w:rsidR="005519F8" w:rsidRDefault="005519F8">
      <w:pPr>
        <w:spacing w:after="0" w:line="240" w:lineRule="auto"/>
        <w:jc w:val="both"/>
        <w:rPr>
          <w:i/>
          <w:sz w:val="20"/>
          <w:szCs w:val="20"/>
        </w:rPr>
      </w:pPr>
    </w:p>
    <w:p w:rsidR="005519F8" w:rsidRDefault="00E07AE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Методологія UNFPA підрахунку охоплення інформаційних заходів</w:t>
      </w:r>
    </w:p>
    <w:p w:rsidR="005519F8" w:rsidRDefault="005519F8">
      <w:pPr>
        <w:spacing w:after="0" w:line="240" w:lineRule="auto"/>
        <w:jc w:val="both"/>
        <w:rPr>
          <w:b/>
          <w:i/>
          <w:sz w:val="18"/>
          <w:szCs w:val="18"/>
        </w:rPr>
      </w:pPr>
    </w:p>
    <w:tbl>
      <w:tblPr>
        <w:tblStyle w:val="affffff0"/>
        <w:tblW w:w="9601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1890"/>
        <w:gridCol w:w="1890"/>
        <w:gridCol w:w="1890"/>
      </w:tblGrid>
      <w:tr w:rsidR="005519F8">
        <w:trPr>
          <w:trHeight w:val="20"/>
        </w:trPr>
        <w:tc>
          <w:tcPr>
            <w:tcW w:w="3931" w:type="dxa"/>
            <w:vAlign w:val="center"/>
          </w:tcPr>
          <w:p w:rsidR="005519F8" w:rsidRDefault="00E07AEB">
            <w:pPr>
              <w:ind w:left="-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контакту з кампанією</w:t>
            </w:r>
          </w:p>
        </w:tc>
        <w:tc>
          <w:tcPr>
            <w:tcW w:w="1890" w:type="dxa"/>
            <w:vAlign w:val="center"/>
          </w:tcPr>
          <w:p w:rsidR="005519F8" w:rsidRDefault="00E07AEB">
            <w:pPr>
              <w:ind w:left="-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Кількість контактів</w:t>
            </w:r>
          </w:p>
        </w:tc>
        <w:tc>
          <w:tcPr>
            <w:tcW w:w="1890" w:type="dxa"/>
            <w:vAlign w:val="center"/>
          </w:tcPr>
          <w:p w:rsidR="005519F8" w:rsidRDefault="00E07AEB">
            <w:pPr>
              <w:ind w:left="-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Вага контакту</w:t>
            </w:r>
          </w:p>
        </w:tc>
        <w:tc>
          <w:tcPr>
            <w:tcW w:w="1890" w:type="dxa"/>
            <w:vAlign w:val="center"/>
          </w:tcPr>
          <w:p w:rsidR="005519F8" w:rsidRDefault="00E07AEB">
            <w:pPr>
              <w:ind w:left="-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Зважене охоплення</w:t>
            </w:r>
          </w:p>
        </w:tc>
      </w:tr>
      <w:tr w:rsidR="005519F8">
        <w:trPr>
          <w:trHeight w:val="20"/>
        </w:trPr>
        <w:tc>
          <w:tcPr>
            <w:tcW w:w="3931" w:type="dxa"/>
          </w:tcPr>
          <w:p w:rsidR="005519F8" w:rsidRDefault="00E07AEB">
            <w:pPr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Учасники офлайн заходів</w:t>
            </w:r>
          </w:p>
        </w:tc>
        <w:tc>
          <w:tcPr>
            <w:tcW w:w="1890" w:type="dxa"/>
          </w:tcPr>
          <w:p w:rsidR="005519F8" w:rsidRDefault="00E07AEB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890" w:type="dxa"/>
          </w:tcPr>
          <w:p w:rsidR="005519F8" w:rsidRDefault="00E07AEB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</w:tcPr>
          <w:p w:rsidR="005519F8" w:rsidRDefault="00E07AEB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</w:t>
            </w:r>
          </w:p>
        </w:tc>
      </w:tr>
      <w:tr w:rsidR="005519F8">
        <w:trPr>
          <w:trHeight w:val="20"/>
        </w:trPr>
        <w:tc>
          <w:tcPr>
            <w:tcW w:w="3931" w:type="dxa"/>
          </w:tcPr>
          <w:p w:rsidR="005519F8" w:rsidRDefault="00E07AEB">
            <w:pPr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Копії друкованих матеріалів кампанії</w:t>
            </w:r>
          </w:p>
        </w:tc>
        <w:tc>
          <w:tcPr>
            <w:tcW w:w="1890" w:type="dxa"/>
          </w:tcPr>
          <w:p w:rsidR="005519F8" w:rsidRDefault="00E07AEB">
            <w:pPr>
              <w:ind w:lef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</w:t>
            </w:r>
          </w:p>
        </w:tc>
      </w:tr>
      <w:tr w:rsidR="005519F8">
        <w:trPr>
          <w:trHeight w:val="20"/>
        </w:trPr>
        <w:tc>
          <w:tcPr>
            <w:tcW w:w="3931" w:type="dxa"/>
          </w:tcPr>
          <w:p w:rsidR="005519F8" w:rsidRDefault="00E07AEB">
            <w:pPr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Копії друкованих газет/журналів зі статтями кампанії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5519F8">
        <w:trPr>
          <w:trHeight w:val="20"/>
        </w:trPr>
        <w:tc>
          <w:tcPr>
            <w:tcW w:w="3931" w:type="dxa"/>
          </w:tcPr>
          <w:p w:rsidR="005519F8" w:rsidRDefault="00E07AEB">
            <w:pPr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Перегляди статей кампанії у діджитал виданнях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5519F8">
        <w:trPr>
          <w:trHeight w:val="20"/>
        </w:trPr>
        <w:tc>
          <w:tcPr>
            <w:tcW w:w="3931" w:type="dxa"/>
          </w:tcPr>
          <w:p w:rsidR="005519F8" w:rsidRDefault="00E07AEB">
            <w:pPr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Перегляди матеріалів (відео, пости) у соцмережах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5519F8">
        <w:trPr>
          <w:trHeight w:val="20"/>
        </w:trPr>
        <w:tc>
          <w:tcPr>
            <w:tcW w:w="3931" w:type="dxa"/>
          </w:tcPr>
          <w:p w:rsidR="005519F8" w:rsidRDefault="00E07AEB">
            <w:pPr>
              <w:ind w:lef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Перегляди матеріалів кампанії на ТБ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5519F8">
        <w:trPr>
          <w:trHeight w:val="20"/>
        </w:trPr>
        <w:tc>
          <w:tcPr>
            <w:tcW w:w="3931" w:type="dxa"/>
          </w:tcPr>
          <w:p w:rsidR="005519F8" w:rsidRDefault="00E07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Слухачі матеріалів на радіо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5519F8">
        <w:trPr>
          <w:trHeight w:val="20"/>
        </w:trPr>
        <w:tc>
          <w:tcPr>
            <w:tcW w:w="3931" w:type="dxa"/>
          </w:tcPr>
          <w:p w:rsidR="005519F8" w:rsidRDefault="00E07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Контакти (перегляди) соціальної реклами (в громадському транспорті, білборди, сітілайти тощо)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5519F8">
        <w:trPr>
          <w:trHeight w:val="20"/>
        </w:trPr>
        <w:tc>
          <w:tcPr>
            <w:tcW w:w="3931" w:type="dxa"/>
          </w:tcPr>
          <w:p w:rsidR="005519F8" w:rsidRDefault="00E07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Візити вебсайту Розірви коло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5519F8" w:rsidRDefault="00E07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</w:tbl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>
        <w:rPr>
          <w:b/>
          <w:color w:val="000000"/>
        </w:rPr>
        <w:t xml:space="preserve">Очікувані результати проведення активностей у громадах </w:t>
      </w:r>
      <w:r>
        <w:rPr>
          <w:b/>
        </w:rPr>
        <w:t>з 25 листопада по 10 грудня 2022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affffff1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3805"/>
        <w:gridCol w:w="5400"/>
      </w:tblGrid>
      <w:tr w:rsidR="005519F8">
        <w:trPr>
          <w:trHeight w:val="27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F8" w:rsidRDefault="005519F8"/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F8" w:rsidRDefault="00E07AEB">
            <w:pPr>
              <w:jc w:val="center"/>
              <w:rPr>
                <w:b/>
              </w:rPr>
            </w:pPr>
            <w:r>
              <w:rPr>
                <w:b/>
              </w:rPr>
              <w:t>Тип активності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F8" w:rsidRDefault="00E07AEB">
            <w:pPr>
              <w:jc w:val="center"/>
              <w:rPr>
                <w:b/>
              </w:rPr>
            </w:pPr>
            <w:r>
              <w:rPr>
                <w:b/>
              </w:rPr>
              <w:t>Ціль</w:t>
            </w:r>
          </w:p>
        </w:tc>
      </w:tr>
      <w:tr w:rsidR="005519F8">
        <w:trPr>
          <w:trHeight w:val="216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F8" w:rsidRDefault="00E07AEB">
            <w:r>
              <w:lastRenderedPageBreak/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F8" w:rsidRDefault="00E07AEB">
            <w:pPr>
              <w:jc w:val="both"/>
            </w:pPr>
            <w:r>
              <w:t xml:space="preserve">Комплексна активність для втілення у громадах-учасниках проєкту UNFPA «Міста і громади, вільні від домашнього насильства», які розбудовують системи протидії та запобігання домашньому насильству  </w:t>
            </w:r>
            <w:r>
              <w:rPr>
                <w:i/>
              </w:rPr>
              <w:t>(концепція 1.1. вище)</w:t>
            </w:r>
            <w:r>
              <w:t xml:space="preserve">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F8" w:rsidRDefault="00E07AEB">
            <w:pPr>
              <w:jc w:val="both"/>
            </w:pPr>
            <w:r>
              <w:t>У кожній цільовій громаді комплексна а</w:t>
            </w:r>
            <w:r>
              <w:t xml:space="preserve">ктивність досягла принаймні 3,000 осіб </w:t>
            </w:r>
            <w:r>
              <w:rPr>
                <w:i/>
              </w:rPr>
              <w:t>(зважене охоплення за методологією UNFPA)</w:t>
            </w:r>
            <w:r>
              <w:t xml:space="preserve"> у період проведення акції «16 днів активізму проти гендерно зумовленого насильства» </w:t>
            </w:r>
          </w:p>
        </w:tc>
      </w:tr>
      <w:tr w:rsidR="005519F8">
        <w:trPr>
          <w:trHeight w:val="30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F8" w:rsidRDefault="00E07AEB">
            <w:r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F8" w:rsidRDefault="00E07AEB">
            <w:pPr>
              <w:jc w:val="both"/>
            </w:pPr>
            <w:r>
              <w:t xml:space="preserve">Активність для втілення у 30 містах, в яких UNFPA формує мережу ключових сервісів підтримки постраждалих від домашнього та гендерно зумовленого насильства </w:t>
            </w:r>
          </w:p>
          <w:p w:rsidR="005519F8" w:rsidRDefault="00E07AEB">
            <w:pPr>
              <w:jc w:val="both"/>
              <w:rPr>
                <w:i/>
              </w:rPr>
            </w:pPr>
            <w:r>
              <w:rPr>
                <w:i/>
              </w:rPr>
              <w:t>(концепція 1.2. вище)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F8" w:rsidRDefault="00E07AEB">
            <w:pPr>
              <w:jc w:val="both"/>
            </w:pPr>
            <w:r>
              <w:t xml:space="preserve">У кожній цільовій громаді комплексна активність досягла принаймні 2,000 осіб </w:t>
            </w:r>
            <w:r>
              <w:rPr>
                <w:i/>
              </w:rPr>
              <w:t>(</w:t>
            </w:r>
            <w:r>
              <w:rPr>
                <w:i/>
              </w:rPr>
              <w:t>зважене охоплення за методологією UNFPA)</w:t>
            </w:r>
            <w:r>
              <w:t xml:space="preserve"> у період проведення акції «16 днів активізму проти гендерно зумовленого насильства» </w:t>
            </w:r>
          </w:p>
        </w:tc>
      </w:tr>
      <w:tr w:rsidR="005519F8">
        <w:trPr>
          <w:trHeight w:val="30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19F8" w:rsidRDefault="00E07AEB">
            <w:r>
              <w:t>3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F8" w:rsidRDefault="00E07AEB">
            <w:pPr>
              <w:jc w:val="both"/>
            </w:pPr>
            <w:r>
              <w:t>Активність для втілення спеціалістами мобільних бригад соціально-психологічної допомоги</w:t>
            </w:r>
          </w:p>
          <w:p w:rsidR="005519F8" w:rsidRDefault="00E07AEB">
            <w:pPr>
              <w:jc w:val="both"/>
            </w:pPr>
            <w:r>
              <w:rPr>
                <w:i/>
              </w:rPr>
              <w:t>(концепція 1.3. вище)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19F8" w:rsidRDefault="00E07AEB">
            <w:pPr>
              <w:jc w:val="both"/>
            </w:pPr>
            <w:r>
              <w:t xml:space="preserve">Кожна мобільна бригада досягла принаймні 500 осіб </w:t>
            </w:r>
            <w:r>
              <w:rPr>
                <w:i/>
              </w:rPr>
              <w:t>(зважене охоплення за методологією UNFPA)</w:t>
            </w:r>
            <w:r>
              <w:t xml:space="preserve"> у період проведення акції «16 днів активізму проти гендерно зумовленого насильства»</w:t>
            </w:r>
          </w:p>
        </w:tc>
      </w:tr>
    </w:tbl>
    <w:p w:rsidR="005519F8" w:rsidRDefault="005519F8">
      <w:pPr>
        <w:spacing w:after="0" w:line="240" w:lineRule="auto"/>
        <w:jc w:val="both"/>
        <w:rPr>
          <w:b/>
        </w:rPr>
      </w:pPr>
    </w:p>
    <w:p w:rsidR="005519F8" w:rsidRDefault="005519F8">
      <w:pPr>
        <w:spacing w:after="0" w:line="240" w:lineRule="auto"/>
        <w:jc w:val="both"/>
        <w:rPr>
          <w:b/>
        </w:rPr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>Очікувані продукти</w:t>
      </w:r>
    </w:p>
    <w:p w:rsidR="005519F8" w:rsidRDefault="00E07AE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Детальні концепції втілення активностей – (1) у 30 цільови</w:t>
      </w:r>
      <w:r>
        <w:rPr>
          <w:color w:val="000000"/>
        </w:rPr>
        <w:t xml:space="preserve">х громадах проєкту «Міста і громади, вільні від домашнього насильства» (концепція 1.1. вище), (2) у 30 цільових містах (концепція 1.2. вище) та (3) мобільними бригадами (концепція 1.3. вище). </w:t>
      </w:r>
    </w:p>
    <w:p w:rsidR="005519F8" w:rsidRDefault="00E07AEB">
      <w:pPr>
        <w:numPr>
          <w:ilvl w:val="0"/>
          <w:numId w:val="6"/>
        </w:numPr>
        <w:spacing w:after="0" w:line="240" w:lineRule="auto"/>
        <w:jc w:val="both"/>
      </w:pPr>
      <w:r>
        <w:t xml:space="preserve">Інструкції з втілення активностей для представників громад і міст (згідно з концепціями 1.1. та 1.2.) і фахівців мобільних бригад (концепція активності 1.3.). </w:t>
      </w:r>
    </w:p>
    <w:p w:rsidR="005519F8" w:rsidRDefault="00E07AEB">
      <w:pPr>
        <w:numPr>
          <w:ilvl w:val="0"/>
          <w:numId w:val="6"/>
        </w:numPr>
        <w:spacing w:after="0" w:line="240" w:lineRule="auto"/>
        <w:jc w:val="both"/>
      </w:pPr>
      <w:r>
        <w:t xml:space="preserve">Втілення активностей в усіх цільових громадах у період з 25 листопада до 10 грудня 2022 року. </w:t>
      </w:r>
    </w:p>
    <w:p w:rsidR="005519F8" w:rsidRDefault="00E07AEB">
      <w:pPr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</w:rPr>
        <w:t>Т</w:t>
      </w:r>
      <w:r>
        <w:rPr>
          <w:color w:val="000000"/>
        </w:rPr>
        <w:t>ри коротких відео про втілення активностей – (1) у 30 цільових громадах проєкту «Міста і громади, вільні від домашнього насильства» (концепція 1.1. вище), (2) у 30 цільових містах (концепція 1.2. вище) та (3) мобільними бригадами (концепція 1.3. вище).</w:t>
      </w:r>
    </w:p>
    <w:p w:rsidR="005519F8" w:rsidRDefault="00E07AEB">
      <w:pPr>
        <w:numPr>
          <w:ilvl w:val="0"/>
          <w:numId w:val="6"/>
        </w:numPr>
        <w:spacing w:after="0" w:line="240" w:lineRule="auto"/>
        <w:jc w:val="both"/>
      </w:pPr>
      <w:r>
        <w:rPr>
          <w:color w:val="000000"/>
        </w:rPr>
        <w:t>Зві</w:t>
      </w:r>
      <w:r>
        <w:rPr>
          <w:color w:val="000000"/>
        </w:rPr>
        <w:t>т про результати втілення активностей у цільових громадах з інформацією про охоплення аудиторії в кожній громаді, згідно з методологією UNFPA***</w:t>
      </w:r>
      <w:r>
        <w:t xml:space="preserve">. </w:t>
      </w:r>
    </w:p>
    <w:p w:rsidR="005519F8" w:rsidRDefault="005519F8">
      <w:pPr>
        <w:spacing w:after="0" w:line="240" w:lineRule="auto"/>
        <w:ind w:left="720"/>
        <w:jc w:val="both"/>
        <w:rPr>
          <w:b/>
        </w:rPr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>Оплата</w:t>
      </w:r>
    </w:p>
    <w:p w:rsidR="005519F8" w:rsidRDefault="00E07AEB">
      <w:pPr>
        <w:spacing w:after="0" w:line="240" w:lineRule="auto"/>
        <w:jc w:val="both"/>
      </w:pPr>
      <w:r>
        <w:t xml:space="preserve">Усі результати, передбачені цими завданнями, повинні бути надані замовнику до </w:t>
      </w:r>
      <w:r>
        <w:rPr>
          <w:b/>
        </w:rPr>
        <w:t>23 грудня 2022 року.</w:t>
      </w:r>
    </w:p>
    <w:tbl>
      <w:tblPr>
        <w:tblStyle w:val="affffff2"/>
        <w:tblW w:w="9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"/>
        <w:gridCol w:w="4950"/>
        <w:gridCol w:w="4305"/>
      </w:tblGrid>
      <w:tr w:rsidR="005519F8">
        <w:trPr>
          <w:trHeight w:val="278"/>
        </w:trPr>
        <w:tc>
          <w:tcPr>
            <w:tcW w:w="4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9F8" w:rsidRDefault="00E07AEB">
            <w:pPr>
              <w:jc w:val="center"/>
            </w:pPr>
            <w:r>
              <w:t>#</w:t>
            </w:r>
          </w:p>
        </w:tc>
        <w:tc>
          <w:tcPr>
            <w:tcW w:w="4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9F8" w:rsidRDefault="00E07AEB">
            <w:pPr>
              <w:jc w:val="center"/>
              <w:rPr>
                <w:b/>
              </w:rPr>
            </w:pPr>
            <w:r>
              <w:rPr>
                <w:b/>
              </w:rPr>
              <w:t>Очікувані матеріали</w:t>
            </w:r>
          </w:p>
        </w:tc>
        <w:tc>
          <w:tcPr>
            <w:tcW w:w="4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9F8" w:rsidRDefault="00E07AEB">
            <w:pPr>
              <w:jc w:val="center"/>
              <w:rPr>
                <w:b/>
              </w:rPr>
            </w:pPr>
            <w:r>
              <w:rPr>
                <w:b/>
              </w:rPr>
              <w:t>Умови оплати та часові рамки</w:t>
            </w:r>
          </w:p>
        </w:tc>
      </w:tr>
      <w:tr w:rsidR="005519F8">
        <w:trPr>
          <w:trHeight w:val="628"/>
        </w:trPr>
        <w:tc>
          <w:tcPr>
            <w:tcW w:w="4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9F8" w:rsidRDefault="00E07AEB">
            <w:pPr>
              <w:jc w:val="center"/>
            </w:pPr>
            <w:r>
              <w:t>1</w:t>
            </w:r>
          </w:p>
        </w:tc>
        <w:tc>
          <w:tcPr>
            <w:tcW w:w="4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9F8" w:rsidRDefault="00E07AEB">
            <w:pPr>
              <w:jc w:val="both"/>
            </w:pPr>
            <w:r>
              <w:t>Детальні концепції втілення активностей – (1) у 30 цільових громадах проєкту «Міста і громади, вільні від домашнього насильства» (концепція 1.1. вище), (2) у 30 цільових містах (концепція 1.2. вище) та (3) мобільними бригадами (концепція 1.3. вище).</w:t>
            </w:r>
          </w:p>
        </w:tc>
        <w:tc>
          <w:tcPr>
            <w:tcW w:w="4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9F8" w:rsidRDefault="00E07AEB">
            <w:pPr>
              <w:jc w:val="both"/>
            </w:pPr>
            <w:r>
              <w:t>20% ва</w:t>
            </w:r>
            <w:r>
              <w:t>ртості контракту після затвердження замовником</w:t>
            </w:r>
          </w:p>
        </w:tc>
      </w:tr>
      <w:tr w:rsidR="005519F8">
        <w:trPr>
          <w:trHeight w:val="896"/>
        </w:trPr>
        <w:tc>
          <w:tcPr>
            <w:tcW w:w="4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9F8" w:rsidRDefault="00E07AEB">
            <w:pPr>
              <w:jc w:val="center"/>
            </w:pPr>
            <w:r>
              <w:lastRenderedPageBreak/>
              <w:t>2</w:t>
            </w:r>
          </w:p>
        </w:tc>
        <w:tc>
          <w:tcPr>
            <w:tcW w:w="4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9F8" w:rsidRDefault="00E07A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65" w:hanging="270"/>
              <w:jc w:val="both"/>
            </w:pPr>
            <w:r>
              <w:rPr>
                <w:color w:val="000000"/>
              </w:rPr>
              <w:t>Інструкції з втілення активностей для представників громад і міст (згідно з концепціями 1.1. та 1.2.) і фахівців мобільних бригад (концепція активності 1.3.).</w:t>
            </w:r>
          </w:p>
          <w:p w:rsidR="005519F8" w:rsidRDefault="00E07A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5" w:hanging="270"/>
              <w:jc w:val="both"/>
            </w:pPr>
            <w:r>
              <w:rPr>
                <w:color w:val="000000"/>
              </w:rPr>
              <w:t>Реалізація затверджених активностей в усіх цільових громадах у період з 25 листопада до 10 грудня 2022 року</w:t>
            </w:r>
          </w:p>
        </w:tc>
        <w:tc>
          <w:tcPr>
            <w:tcW w:w="4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9F8" w:rsidRDefault="00E07AEB">
            <w:pPr>
              <w:jc w:val="both"/>
            </w:pPr>
            <w:r>
              <w:t>60% вартості контракту після затвердження замовником</w:t>
            </w:r>
          </w:p>
        </w:tc>
      </w:tr>
      <w:tr w:rsidR="005519F8">
        <w:trPr>
          <w:trHeight w:val="896"/>
        </w:trPr>
        <w:tc>
          <w:tcPr>
            <w:tcW w:w="4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9F8" w:rsidRDefault="00E07AEB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49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9F8" w:rsidRDefault="00E07A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65" w:hanging="270"/>
              <w:jc w:val="both"/>
              <w:rPr>
                <w:color w:val="000000"/>
              </w:rPr>
            </w:pPr>
            <w:r>
              <w:rPr>
                <w:color w:val="000000"/>
              </w:rPr>
              <w:t>Три коротких відео про втілення активностей – (1) у 30 цільових громадах проєкту «Міста і громади, вільні від домашнього насильства» (концепція 1.1. вище), (2) у 30 цільових містах (концепція 1.2. вище) та (3) мобільними бригадами (концепція 1.3. вище).</w:t>
            </w:r>
          </w:p>
          <w:p w:rsidR="005519F8" w:rsidRDefault="00E07AE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5" w:hanging="270"/>
              <w:jc w:val="both"/>
            </w:pPr>
            <w:r>
              <w:rPr>
                <w:color w:val="000000"/>
              </w:rPr>
              <w:t>Зв</w:t>
            </w:r>
            <w:r>
              <w:rPr>
                <w:color w:val="000000"/>
              </w:rPr>
              <w:t>іт про результати втілення активностей у цільових громадах з інформацією про охоплення аудиторії в кожній громаді, згідно з методологією UNFPA.</w:t>
            </w:r>
          </w:p>
        </w:tc>
        <w:tc>
          <w:tcPr>
            <w:tcW w:w="4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9F8" w:rsidRDefault="00E07AEB">
            <w:pPr>
              <w:jc w:val="both"/>
            </w:pPr>
            <w:r>
              <w:t>20% вартості контракту після затвердження замовником</w:t>
            </w:r>
          </w:p>
        </w:tc>
      </w:tr>
    </w:tbl>
    <w:p w:rsidR="005519F8" w:rsidRDefault="005519F8">
      <w:pPr>
        <w:spacing w:after="0" w:line="240" w:lineRule="auto"/>
        <w:jc w:val="both"/>
        <w:rPr>
          <w:b/>
        </w:rPr>
      </w:pPr>
    </w:p>
    <w:p w:rsidR="005519F8" w:rsidRDefault="005519F8">
      <w:pPr>
        <w:spacing w:after="0" w:line="240" w:lineRule="auto"/>
        <w:jc w:val="both"/>
        <w:rPr>
          <w:b/>
        </w:rPr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>Інтелектуальна власність</w:t>
      </w:r>
    </w:p>
    <w:p w:rsidR="005519F8" w:rsidRDefault="00E07AEB">
      <w:pPr>
        <w:spacing w:after="0" w:line="240" w:lineRule="auto"/>
        <w:jc w:val="both"/>
      </w:pPr>
      <w:r>
        <w:t>Уся інформація, що належить цьому проєкту (документальна, візуальна, цифрова, кібер, проєктна документація і т.д.), і з якою Підрядник може вступити в контакт при виконанні своїх обов'язків відповідно до цього завдання, залишається власністю UNFPA, Фонду О</w:t>
      </w:r>
      <w:r>
        <w:t>ОН у галузі народонаселення в Україні, який має виняткові права на їх використання. За винятком цілей даного завдання, інформація не повинна бути розкрита громадськості або використовуватися в будь-якому виді без письмового дозволу Фонду ООН у галузі народ</w:t>
      </w:r>
      <w:r>
        <w:t>онаселення відповідно до національних і міжнародних законів про авторські права.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>Вимоги щодо кваліфікації</w:t>
      </w:r>
    </w:p>
    <w:p w:rsidR="005519F8" w:rsidRDefault="00E07AEB">
      <w:pPr>
        <w:spacing w:after="0" w:line="240" w:lineRule="auto"/>
        <w:jc w:val="both"/>
      </w:pPr>
      <w:r>
        <w:t>UNFPA шукає постачальника послуг зі значним досвідом проведення комунікаційних кампаній, бажано соціальних кампаній (потрібні посилання на останні вп</w:t>
      </w:r>
      <w:r>
        <w:t>роваджені кампанії соціального характеру), створення медіа продуктів (відео продакшн, дизайн, креатив, контент), проведення офлайн заходів і глибоких практичних знань про українські медіа та рекламні ринки.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spacing w:after="0" w:line="240" w:lineRule="auto"/>
        <w:jc w:val="both"/>
      </w:pPr>
      <w:r>
        <w:t>Потенційний постачальник послуг повинен:</w:t>
      </w:r>
    </w:p>
    <w:p w:rsidR="005519F8" w:rsidRDefault="00E07A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бути ре</w:t>
      </w:r>
      <w:r>
        <w:rPr>
          <w:color w:val="000000"/>
        </w:rPr>
        <w:t>зидентом або мати юридичне представництво в Україні з відповідною офіційною реєстрацією;</w:t>
      </w:r>
    </w:p>
    <w:p w:rsidR="005519F8" w:rsidRDefault="00E07A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працювати в сфері комунікацій щонайменше 2 роки;</w:t>
      </w:r>
    </w:p>
    <w:p w:rsidR="005519F8" w:rsidRDefault="00E07A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мати досвід у реалізації публічних інформаційних та комунікаційних кампаній, досвід у розробці та реалізації соціальних кампаній буде перевагою;</w:t>
      </w:r>
    </w:p>
    <w:p w:rsidR="005519F8" w:rsidRDefault="00E07A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демонструвати здатність дотримуватися часових рамок, працювати під тиском та вимірювати результати;</w:t>
      </w:r>
    </w:p>
    <w:p w:rsidR="005519F8" w:rsidRDefault="00E07AE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lastRenderedPageBreak/>
        <w:t>володіти ук</w:t>
      </w:r>
      <w:r>
        <w:rPr>
          <w:color w:val="000000"/>
        </w:rPr>
        <w:t>раїнською та англійською мовами.</w:t>
      </w:r>
    </w:p>
    <w:p w:rsidR="005519F8" w:rsidRDefault="00E07AEB">
      <w:pPr>
        <w:spacing w:after="0" w:line="240" w:lineRule="auto"/>
        <w:jc w:val="both"/>
      </w:pPr>
      <w:r>
        <w:t>Перевагою буде попередній досвід роботи з агенціями системи ООН.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spacing w:after="0" w:line="240" w:lineRule="auto"/>
        <w:jc w:val="both"/>
      </w:pPr>
      <w:r>
        <w:t>Постачальник послуг може залучати до реалізації активностей субпідрядників. В такому разі, інформація про тип послуг та юридична назва потенційного субпідряд</w:t>
      </w:r>
      <w:r>
        <w:t>ника зазначається в тендерній пропозиції. Приклади відповідних робіт субпідрядника додаються до портфоліо потенційного постачальника послуг. Одночасно, уся відповідальність за реалізацію активностей даної тендерної пропозиції у строк та у повному обсязі не</w:t>
      </w:r>
      <w:r>
        <w:t>се обраний постачальник послуг.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 xml:space="preserve">Питання </w:t>
      </w:r>
    </w:p>
    <w:p w:rsidR="005519F8" w:rsidRDefault="00E07AEB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Питання або запити на додаткові роз'яснення можна задати під час організаційної зустрічі, яка відбудеться в </w:t>
      </w:r>
      <w:r>
        <w:rPr>
          <w:b/>
        </w:rPr>
        <w:t>п’ятницю</w:t>
      </w:r>
      <w:r>
        <w:t xml:space="preserve"> </w:t>
      </w:r>
      <w:r>
        <w:rPr>
          <w:b/>
        </w:rPr>
        <w:t>23 вересня 2022 р. о 14:00 через конференцію ZOOM</w:t>
      </w:r>
      <w:r>
        <w:t xml:space="preserve"> (посилання на засідання конференції буде надано</w:t>
      </w:r>
      <w:r>
        <w:t xml:space="preserve"> пізніше).</w:t>
      </w:r>
    </w:p>
    <w:p w:rsidR="005519F8" w:rsidRDefault="005519F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5519F8" w:rsidRDefault="00E07AEB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У разі вашої участі в організаційній зустрічі ми просимо надіслати підтвердження з повним іменем вашого представника контактній особі UNFPA до </w:t>
      </w:r>
      <w:r>
        <w:rPr>
          <w:b/>
        </w:rPr>
        <w:t>15:00 за київським часом, 22 вересня 2022 року</w:t>
      </w:r>
      <w:r>
        <w:t>.</w:t>
      </w:r>
    </w:p>
    <w:p w:rsidR="005519F8" w:rsidRDefault="005519F8">
      <w:pPr>
        <w:tabs>
          <w:tab w:val="left" w:pos="6630"/>
          <w:tab w:val="left" w:pos="9120"/>
        </w:tabs>
        <w:spacing w:after="0" w:line="240" w:lineRule="auto"/>
        <w:jc w:val="both"/>
      </w:pPr>
    </w:p>
    <w:tbl>
      <w:tblPr>
        <w:tblStyle w:val="affffff3"/>
        <w:tblW w:w="962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4"/>
        <w:gridCol w:w="6086"/>
      </w:tblGrid>
      <w:tr w:rsidR="005519F8">
        <w:trPr>
          <w:trHeight w:val="284"/>
        </w:trPr>
        <w:tc>
          <w:tcPr>
            <w:tcW w:w="3534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9F8" w:rsidRDefault="00E07AEB">
            <w:pPr>
              <w:tabs>
                <w:tab w:val="left" w:pos="6630"/>
                <w:tab w:val="left" w:pos="9120"/>
              </w:tabs>
              <w:jc w:val="both"/>
            </w:pPr>
            <w:r>
              <w:t>Контактна особа в UNFPA:</w:t>
            </w:r>
          </w:p>
        </w:tc>
        <w:tc>
          <w:tcPr>
            <w:tcW w:w="608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5519F8" w:rsidRDefault="00E07AEB">
            <w:pPr>
              <w:tabs>
                <w:tab w:val="left" w:pos="6630"/>
                <w:tab w:val="left" w:pos="9120"/>
              </w:tabs>
              <w:jc w:val="both"/>
            </w:pPr>
            <w:r>
              <w:t>Ніна Ломпарт</w:t>
            </w:r>
          </w:p>
        </w:tc>
      </w:tr>
      <w:tr w:rsidR="005519F8">
        <w:trPr>
          <w:trHeight w:val="55"/>
        </w:trPr>
        <w:tc>
          <w:tcPr>
            <w:tcW w:w="353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9F8" w:rsidRDefault="00E07AEB">
            <w:pPr>
              <w:tabs>
                <w:tab w:val="left" w:pos="6630"/>
                <w:tab w:val="left" w:pos="9120"/>
              </w:tabs>
              <w:jc w:val="both"/>
            </w:pPr>
            <w:r>
              <w:t>Тел Nº:</w:t>
            </w:r>
          </w:p>
        </w:tc>
        <w:tc>
          <w:tcPr>
            <w:tcW w:w="608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5519F8" w:rsidRDefault="00E07AEB">
            <w:pPr>
              <w:tabs>
                <w:tab w:val="left" w:pos="6630"/>
                <w:tab w:val="left" w:pos="9120"/>
              </w:tabs>
              <w:jc w:val="both"/>
            </w:pPr>
            <w:r>
              <w:t>+380663509779</w:t>
            </w:r>
            <w:r>
              <w:br/>
            </w:r>
            <w:r>
              <w:rPr>
                <w:i/>
              </w:rPr>
              <w:t>(пріоритетним засобом комунікації є текстовий у WhatsApp або Signal)</w:t>
            </w:r>
          </w:p>
        </w:tc>
      </w:tr>
      <w:tr w:rsidR="005519F8">
        <w:trPr>
          <w:trHeight w:val="147"/>
        </w:trPr>
        <w:tc>
          <w:tcPr>
            <w:tcW w:w="353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19F8" w:rsidRDefault="00E07AEB">
            <w:pPr>
              <w:tabs>
                <w:tab w:val="left" w:pos="6630"/>
                <w:tab w:val="left" w:pos="9120"/>
              </w:tabs>
              <w:jc w:val="both"/>
            </w:pPr>
            <w:r>
              <w:t>Електронна пошта:</w:t>
            </w:r>
          </w:p>
        </w:tc>
        <w:tc>
          <w:tcPr>
            <w:tcW w:w="608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5519F8" w:rsidRDefault="00E07AEB">
            <w:pPr>
              <w:tabs>
                <w:tab w:val="left" w:pos="6630"/>
                <w:tab w:val="left" w:pos="9120"/>
              </w:tabs>
              <w:jc w:val="both"/>
            </w:pPr>
            <w:r>
              <w:t>lompart@unfpa.org</w:t>
            </w:r>
          </w:p>
        </w:tc>
      </w:tr>
    </w:tbl>
    <w:p w:rsidR="005519F8" w:rsidRDefault="00E07AEB">
      <w:pPr>
        <w:tabs>
          <w:tab w:val="left" w:pos="6630"/>
          <w:tab w:val="left" w:pos="9120"/>
        </w:tabs>
        <w:spacing w:after="0" w:line="240" w:lineRule="auto"/>
        <w:jc w:val="both"/>
      </w:pPr>
      <w:r>
        <w:t> </w:t>
      </w:r>
    </w:p>
    <w:p w:rsidR="005519F8" w:rsidRDefault="00E07AEB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Якщо ви не можете взяти участь у дискусії, надішліть свої запитання та запити контактній особі UNFPA </w:t>
      </w:r>
    </w:p>
    <w:p w:rsidR="005519F8" w:rsidRDefault="00E07AEB">
      <w:pPr>
        <w:tabs>
          <w:tab w:val="left" w:pos="6630"/>
          <w:tab w:val="left" w:pos="9120"/>
        </w:tabs>
        <w:spacing w:after="0" w:line="240" w:lineRule="auto"/>
        <w:jc w:val="both"/>
      </w:pPr>
      <w:r>
        <w:t>(див. Контакти у таблиці вище).</w:t>
      </w:r>
    </w:p>
    <w:p w:rsidR="005519F8" w:rsidRDefault="00E07AEB">
      <w:pPr>
        <w:tabs>
          <w:tab w:val="left" w:pos="6630"/>
          <w:tab w:val="left" w:pos="9120"/>
        </w:tabs>
        <w:spacing w:after="0" w:line="240" w:lineRule="auto"/>
        <w:jc w:val="both"/>
      </w:pPr>
      <w:r>
        <w:t> </w:t>
      </w:r>
    </w:p>
    <w:p w:rsidR="005519F8" w:rsidRDefault="00E07AEB">
      <w:pPr>
        <w:tabs>
          <w:tab w:val="left" w:pos="6630"/>
          <w:tab w:val="left" w:pos="9120"/>
        </w:tabs>
        <w:spacing w:after="0" w:line="240" w:lineRule="auto"/>
        <w:jc w:val="both"/>
      </w:pPr>
      <w:r>
        <w:t>На питання буде надіслано відповідь в письмовій формі. Відповіді будуть розіслані серед усіх зацікавлених сторін якнайшвидше.</w:t>
      </w:r>
    </w:p>
    <w:p w:rsidR="005519F8" w:rsidRDefault="005519F8">
      <w:pPr>
        <w:tabs>
          <w:tab w:val="left" w:pos="6630"/>
          <w:tab w:val="left" w:pos="9120"/>
        </w:tabs>
        <w:spacing w:after="0" w:line="240" w:lineRule="auto"/>
        <w:jc w:val="both"/>
      </w:pPr>
    </w:p>
    <w:p w:rsidR="005519F8" w:rsidRDefault="00E07AEB">
      <w:pPr>
        <w:tabs>
          <w:tab w:val="left" w:pos="6630"/>
          <w:tab w:val="left" w:pos="9120"/>
        </w:tabs>
        <w:spacing w:after="0" w:line="240" w:lineRule="auto"/>
        <w:jc w:val="both"/>
      </w:pPr>
      <w:r>
        <w:t xml:space="preserve">Кінцевий термін подання питань – </w:t>
      </w:r>
      <w:r>
        <w:rPr>
          <w:b/>
        </w:rPr>
        <w:t>четвер,</w:t>
      </w:r>
      <w:r>
        <w:t xml:space="preserve"> </w:t>
      </w:r>
      <w:r>
        <w:rPr>
          <w:b/>
        </w:rPr>
        <w:t>29 вересня 2022 р. о 17:00 за київським часом</w:t>
      </w:r>
      <w:r>
        <w:t>.</w:t>
      </w:r>
    </w:p>
    <w:p w:rsidR="005519F8" w:rsidRDefault="005519F8">
      <w:pPr>
        <w:spacing w:after="0" w:line="240" w:lineRule="auto"/>
        <w:jc w:val="both"/>
        <w:rPr>
          <w:b/>
        </w:rPr>
      </w:pPr>
    </w:p>
    <w:p w:rsidR="005519F8" w:rsidRDefault="00E07AEB">
      <w:pPr>
        <w:spacing w:after="0" w:line="240" w:lineRule="auto"/>
        <w:rPr>
          <w:b/>
        </w:rPr>
      </w:pPr>
      <w:r>
        <w:rPr>
          <w:b/>
        </w:rPr>
        <w:t>III. Зміст пропозицій</w:t>
      </w:r>
    </w:p>
    <w:p w:rsidR="005519F8" w:rsidRDefault="005519F8">
      <w:pPr>
        <w:spacing w:after="0" w:line="240" w:lineRule="auto"/>
        <w:rPr>
          <w:b/>
        </w:rPr>
      </w:pPr>
    </w:p>
    <w:p w:rsidR="005519F8" w:rsidRDefault="00E07AE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 xml:space="preserve">Пропозиції мають надсилатися електронною поштою, за можливістю, одним повідомленням, залежно від розміру файлу та мають вміщувати: </w:t>
      </w:r>
    </w:p>
    <w:p w:rsidR="005519F8" w:rsidRDefault="00E07AE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a) Технічну пропозицію, яка повинна містити інформацію, яка б надала докази для оцінки пропозицій відповідно до критеріїв, а</w:t>
      </w:r>
      <w:r>
        <w:rPr>
          <w:color w:val="000000"/>
        </w:rPr>
        <w:t xml:space="preserve"> також інформацію про юридичну особу.</w:t>
      </w:r>
    </w:p>
    <w:p w:rsidR="005519F8" w:rsidRDefault="00E07AE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Технічна заявка повинна бути подана електронним способом передачі за електронною адресою, зазначеною у розділі IV.</w:t>
      </w:r>
    </w:p>
    <w:p w:rsidR="005519F8" w:rsidRDefault="00E07AE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б) Цінову пропозицію із запропонованими бюджетами слід подавати строго відповідно до форми цінових проп</w:t>
      </w:r>
      <w:r>
        <w:rPr>
          <w:color w:val="000000"/>
        </w:rPr>
        <w:t>озицій.</w:t>
      </w:r>
    </w:p>
    <w:p w:rsidR="005519F8" w:rsidRDefault="00E07AE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в) Мова пропозиції – англійська чи українська.</w:t>
      </w:r>
    </w:p>
    <w:p w:rsidR="005519F8" w:rsidRDefault="00E07AEB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d) Технічна пропозиція та фінансова пропозиція повинні бути подані </w:t>
      </w:r>
      <w:r>
        <w:rPr>
          <w:b/>
          <w:color w:val="FF0000"/>
        </w:rPr>
        <w:t>окремими файлами</w:t>
      </w:r>
      <w:r>
        <w:rPr>
          <w:b/>
          <w:color w:val="000000"/>
        </w:rPr>
        <w:t xml:space="preserve"> та бути підписаними відповідним органом чи особою, що подається на торги, та бути поданими у форматі PDF.</w:t>
      </w:r>
    </w:p>
    <w:p w:rsidR="005519F8" w:rsidRDefault="005519F8">
      <w:pPr>
        <w:spacing w:after="0" w:line="240" w:lineRule="auto"/>
        <w:jc w:val="both"/>
        <w:rPr>
          <w:b/>
        </w:rPr>
      </w:pPr>
    </w:p>
    <w:p w:rsidR="005519F8" w:rsidRDefault="00E07AEB">
      <w:pPr>
        <w:spacing w:after="0" w:line="240" w:lineRule="auto"/>
        <w:rPr>
          <w:b/>
        </w:rPr>
      </w:pPr>
      <w:r>
        <w:rPr>
          <w:b/>
        </w:rPr>
        <w:t>IV. Інстру</w:t>
      </w:r>
      <w:r>
        <w:rPr>
          <w:b/>
        </w:rPr>
        <w:t>кції для подання</w:t>
      </w:r>
    </w:p>
    <w:p w:rsidR="005519F8" w:rsidRDefault="005519F8">
      <w:pPr>
        <w:spacing w:after="0" w:line="240" w:lineRule="auto"/>
        <w:rPr>
          <w:b/>
        </w:rPr>
      </w:pPr>
    </w:p>
    <w:p w:rsidR="005519F8" w:rsidRDefault="00E07AE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Пропозиції мають бути підготовлені згідно Розділу III і IV разом із відповідно заповненим і підписаним бланком цінової пропозиції, надіслані до контактної особи тільки на вказану електронну пошту не пізніше ніж:</w:t>
      </w:r>
      <w:r>
        <w:rPr>
          <w:b/>
        </w:rPr>
        <w:t xml:space="preserve"> вівторок, 04 жовтня 2022, </w:t>
      </w:r>
      <w:r>
        <w:rPr>
          <w:b/>
        </w:rPr>
        <w:t xml:space="preserve">17:00 за київським часом. </w:t>
      </w:r>
      <w:r>
        <w:t>Пропозиції, надіслані на будь-яку іншу електронну пошту, не будуть прийняті до розгляду.</w:t>
      </w:r>
    </w:p>
    <w:p w:rsidR="005519F8" w:rsidRDefault="005519F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tbl>
      <w:tblPr>
        <w:tblStyle w:val="affffff4"/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5519F8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Контактна особа: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19F8" w:rsidRDefault="00E07AEB">
            <w:r>
              <w:rPr>
                <w:i/>
              </w:rPr>
              <w:t>Ірина Богун</w:t>
            </w:r>
          </w:p>
        </w:tc>
      </w:tr>
      <w:tr w:rsidR="005519F8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</w:pPr>
            <w:r>
              <w:t>Електронна адреса: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519F8" w:rsidRDefault="00E07AEB">
            <w:r>
              <w:rPr>
                <w:b/>
              </w:rPr>
              <w:t>ua-procurement@unfpa.org</w:t>
            </w:r>
          </w:p>
        </w:tc>
      </w:tr>
    </w:tbl>
    <w:p w:rsidR="005519F8" w:rsidRDefault="005519F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:rsidR="005519F8" w:rsidRDefault="00E07AE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Зверніть увагу на наступні інструкції щодо електронного подання:</w:t>
      </w:r>
    </w:p>
    <w:p w:rsidR="005519F8" w:rsidRDefault="00E07AE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 xml:space="preserve">- Тема повідомлення має включати таке посилання: </w:t>
      </w:r>
      <w:r>
        <w:rPr>
          <w:b/>
        </w:rPr>
        <w:t>RFQ NºUNFPA/UKR/RFQ/22/33.</w:t>
      </w:r>
      <w:r>
        <w:t xml:space="preserve"> Пропозиції, що містять невірно вказану тему повідомлення, можуть бути пропущені адміністратором та, таким чином, не потрапити до розгляду.</w:t>
      </w:r>
    </w:p>
    <w:p w:rsidR="005519F8" w:rsidRDefault="00E07AE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 xml:space="preserve">- Загальний обсяг повідомлення, що надсилається не має перевищувати </w:t>
      </w:r>
      <w:r>
        <w:rPr>
          <w:b/>
        </w:rPr>
        <w:t xml:space="preserve">20 MB (у тому числі, сам лист, надані додатки та заголовки). </w:t>
      </w:r>
      <w: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:rsidR="005519F8" w:rsidRDefault="005519F8">
      <w:pPr>
        <w:tabs>
          <w:tab w:val="left" w:pos="6630"/>
          <w:tab w:val="left" w:pos="9120"/>
        </w:tabs>
        <w:spacing w:after="0" w:line="240" w:lineRule="auto"/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 xml:space="preserve">V. </w:t>
      </w:r>
      <w:r>
        <w:rPr>
          <w:b/>
        </w:rPr>
        <w:t>Оцінка пропозицій</w:t>
      </w:r>
    </w:p>
    <w:p w:rsidR="005519F8" w:rsidRDefault="00E07AEB">
      <w:pPr>
        <w:spacing w:after="0" w:line="240" w:lineRule="auto"/>
        <w:jc w:val="both"/>
      </w:pPr>
      <w:r>
        <w:t xml:space="preserve">Спеціалізована оцінювальна комісія проводитиме оцінку пропозицій у два етапи. Технічні пропозиції будуть розглянуті на відповідність вимогам </w:t>
      </w:r>
      <w:r>
        <w:rPr>
          <w:b/>
        </w:rPr>
        <w:t xml:space="preserve">до </w:t>
      </w:r>
      <w:r>
        <w:t>порівняння цінових пропозицій.</w:t>
      </w: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spacing w:after="0" w:line="240" w:lineRule="auto"/>
        <w:jc w:val="both"/>
        <w:rPr>
          <w:b/>
        </w:rPr>
      </w:pPr>
      <w:bookmarkStart w:id="2" w:name="_heading=h.1fob9te" w:colFirst="0" w:colLast="0"/>
      <w:bookmarkEnd w:id="2"/>
      <w:r>
        <w:rPr>
          <w:b/>
        </w:rPr>
        <w:t>Teхнічна оцінка (максимально 100 балів)</w:t>
      </w:r>
    </w:p>
    <w:p w:rsidR="005519F8" w:rsidRDefault="00E07AEB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  <w:bookmarkStart w:id="3" w:name="_heading=h.30j0zll" w:colFirst="0" w:colLast="0"/>
      <w:bookmarkEnd w:id="3"/>
      <w:r>
        <w:t>Технічні пропозиції бу</w:t>
      </w:r>
      <w:r>
        <w:t>дуть оцінені згідно з умовами, вказаними в розділі про вимоги до надання послуг/ Розділ І Технічного завдання, та відповідно до критеріїв оцінки, що подані нижче.</w:t>
      </w:r>
    </w:p>
    <w:p w:rsidR="005519F8" w:rsidRDefault="005519F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tbl>
      <w:tblPr>
        <w:tblStyle w:val="affffff5"/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3"/>
        <w:gridCol w:w="1559"/>
        <w:gridCol w:w="1134"/>
        <w:gridCol w:w="1134"/>
        <w:gridCol w:w="1693"/>
      </w:tblGrid>
      <w:tr w:rsidR="005519F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rPr>
                <w:b/>
                <w:color w:val="FFFFFF"/>
              </w:rPr>
              <w:t>Критерії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rPr>
                <w:color w:val="FFFFFF"/>
              </w:rPr>
              <w:t>[A] Максимальна кількість балів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[B]</w:t>
            </w:r>
          </w:p>
          <w:p w:rsidR="005519F8" w:rsidRDefault="00E07AEB">
            <w:pPr>
              <w:jc w:val="center"/>
            </w:pPr>
            <w:r>
              <w:rPr>
                <w:color w:val="FFFFFF"/>
              </w:rPr>
              <w:t>Отримані бали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[C]</w:t>
            </w:r>
          </w:p>
          <w:p w:rsidR="005519F8" w:rsidRDefault="00E07AEB">
            <w:pPr>
              <w:jc w:val="center"/>
            </w:pPr>
            <w:r>
              <w:rPr>
                <w:color w:val="FFFFFF"/>
              </w:rPr>
              <w:t>Вага (%)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[B] x [C] = [D]</w:t>
            </w:r>
          </w:p>
          <w:p w:rsidR="005519F8" w:rsidRDefault="00E07AEB">
            <w:pPr>
              <w:jc w:val="center"/>
            </w:pPr>
            <w:r>
              <w:rPr>
                <w:color w:val="FFFFFF"/>
              </w:rPr>
              <w:t>Зага</w:t>
            </w:r>
            <w:r>
              <w:rPr>
                <w:color w:val="FFFFFF"/>
              </w:rPr>
              <w:t>льна кількість балів</w:t>
            </w:r>
          </w:p>
        </w:tc>
      </w:tr>
      <w:tr w:rsidR="005519F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9F8" w:rsidRDefault="00E07AEB">
            <w:pPr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Креативність попередніх концепцій активностей 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5519F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30%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center"/>
            </w:pPr>
          </w:p>
        </w:tc>
      </w:tr>
      <w:tr w:rsidR="005519F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9F8" w:rsidRDefault="00E07AEB">
            <w:pPr>
              <w:rPr>
                <w:color w:val="000000"/>
                <w:highlight w:val="white"/>
              </w:rPr>
            </w:pPr>
            <w:r>
              <w:t>Відповідність попередніх концепцій активностей ключовим підходам кампанії «Розірви коло» та рекомендаціям для втілення заходів у межах «16 днів активізму проти гендерно зумовленого насильства»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5519F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30%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center"/>
            </w:pPr>
          </w:p>
        </w:tc>
      </w:tr>
      <w:tr w:rsidR="005519F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9F8" w:rsidRDefault="00E07AEB">
            <w:r>
              <w:rPr>
                <w:color w:val="000000"/>
                <w:highlight w:val="white"/>
              </w:rPr>
              <w:t>Глибина пропрацювання технічної пропозиції: релевант</w:t>
            </w:r>
            <w:r>
              <w:rPr>
                <w:color w:val="000000"/>
                <w:highlight w:val="white"/>
              </w:rPr>
              <w:t xml:space="preserve">ність запропонованих концепцій активностей діяльності </w:t>
            </w:r>
            <w:r>
              <w:rPr>
                <w:color w:val="000000"/>
              </w:rPr>
              <w:t xml:space="preserve">UNFPA у цільових громадах 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5519F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15%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center"/>
            </w:pPr>
          </w:p>
        </w:tc>
      </w:tr>
      <w:tr w:rsidR="005519F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9F8" w:rsidRDefault="00E07AEB">
            <w:r>
              <w:lastRenderedPageBreak/>
              <w:t>Досвід агенції та ключових членів команди, яка буде працювати над соціальною кампанією. Презентація успішних кейсів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5519F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15%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center"/>
            </w:pPr>
          </w:p>
        </w:tc>
      </w:tr>
      <w:tr w:rsidR="005519F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9F8" w:rsidRDefault="00E07AEB">
            <w:r>
              <w:t xml:space="preserve">Якість підготовки матеріалів поданої на конкурс пропозиції (клікабельність і доступ до посилань, відсутність орфографічних помилок і т.д.) 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5519F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center"/>
            </w:pPr>
          </w:p>
        </w:tc>
      </w:tr>
      <w:tr w:rsidR="005519F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9F8" w:rsidRDefault="00E07AEB">
            <w:r>
              <w:t>Підтверджений досвід роботи з міжнародними організаціями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5519F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5%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center"/>
            </w:pPr>
          </w:p>
        </w:tc>
      </w:tr>
      <w:tr w:rsidR="005519F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right"/>
            </w:pPr>
            <w:r>
              <w:rPr>
                <w:b/>
                <w:i/>
              </w:rPr>
              <w:t>Загальна сума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rPr>
                <w:b/>
              </w:rPr>
              <w:t>600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5519F8" w:rsidRDefault="005519F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rPr>
                <w:b/>
              </w:rPr>
              <w:t>100%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center"/>
            </w:pPr>
          </w:p>
        </w:tc>
      </w:tr>
    </w:tbl>
    <w:p w:rsidR="005519F8" w:rsidRDefault="005519F8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</w:pPr>
    </w:p>
    <w:p w:rsidR="005519F8" w:rsidRDefault="00E07AEB">
      <w:pPr>
        <w:spacing w:after="0" w:line="240" w:lineRule="auto"/>
      </w:pPr>
      <w:r>
        <w:t>Наступна шкала оцінювання буде використана для забезпечення об'єктивної оцінки:</w:t>
      </w:r>
    </w:p>
    <w:tbl>
      <w:tblPr>
        <w:tblStyle w:val="affffff6"/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5519F8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9F8" w:rsidRDefault="00E07AEB">
            <w: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Бали зі 100</w:t>
            </w:r>
          </w:p>
        </w:tc>
      </w:tr>
      <w:tr w:rsidR="005519F8">
        <w:trPr>
          <w:trHeight w:val="25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9F8" w:rsidRDefault="00E07AEB">
            <w: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90 – 100</w:t>
            </w:r>
          </w:p>
        </w:tc>
      </w:tr>
      <w:tr w:rsidR="005519F8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9F8" w:rsidRDefault="00E07AEB">
            <w: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 xml:space="preserve">80 – 89 </w:t>
            </w:r>
          </w:p>
        </w:tc>
      </w:tr>
      <w:tr w:rsidR="005519F8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9F8" w:rsidRDefault="00E07AEB">
            <w: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70 – 79</w:t>
            </w:r>
          </w:p>
        </w:tc>
      </w:tr>
      <w:tr w:rsidR="005519F8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9F8" w:rsidRDefault="00E07AEB">
            <w: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до 70</w:t>
            </w:r>
          </w:p>
        </w:tc>
      </w:tr>
    </w:tbl>
    <w:p w:rsidR="005519F8" w:rsidRDefault="005519F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  <w:rPr>
          <w:b/>
        </w:rPr>
      </w:pPr>
    </w:p>
    <w:p w:rsidR="005519F8" w:rsidRDefault="00E07AE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rPr>
          <w:b/>
        </w:rPr>
        <w:t xml:space="preserve">Цінові пропозиції будуть оцінені тільки від тих постачальників, чиї технічні пропозиції набрали мінімальну кількість балів – 70 після технічної оцінки. 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Фінансова оцінка (максимально 100 балів)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b/>
          <w:color w:val="000000"/>
        </w:rPr>
      </w:pPr>
    </w:p>
    <w:p w:rsidR="005519F8" w:rsidRDefault="00E07AEB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  <w: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</w:t>
      </w:r>
      <w:r>
        <w:t>нші цінові пропозиції отримають бали у зворотній пропорції згідно такої формули:</w:t>
      </w:r>
    </w:p>
    <w:p w:rsidR="005519F8" w:rsidRDefault="005519F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p w:rsidR="005519F8" w:rsidRDefault="005519F8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spacing w:after="0" w:line="240" w:lineRule="auto"/>
        <w:jc w:val="both"/>
      </w:pPr>
    </w:p>
    <w:tbl>
      <w:tblPr>
        <w:tblStyle w:val="affffff7"/>
        <w:tblW w:w="7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7"/>
        <w:gridCol w:w="2325"/>
        <w:gridCol w:w="2792"/>
      </w:tblGrid>
      <w:tr w:rsidR="005519F8"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tabs>
                <w:tab w:val="left" w:pos="-1080"/>
              </w:tabs>
              <w:jc w:val="both"/>
            </w:pPr>
            <w:r>
              <w:t>Фінансова оцінка =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9F8" w:rsidRDefault="00E07AEB">
            <w:pPr>
              <w:tabs>
                <w:tab w:val="left" w:pos="-1080"/>
              </w:tabs>
              <w:jc w:val="center"/>
            </w:pPr>
            <w:r>
              <w:t>Найнижча подана ціна ($)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tabs>
                <w:tab w:val="left" w:pos="-1080"/>
              </w:tabs>
              <w:jc w:val="both"/>
            </w:pPr>
            <w:r>
              <w:t>X 100 (Максимальна кількість балів)</w:t>
            </w:r>
          </w:p>
        </w:tc>
      </w:tr>
      <w:tr w:rsidR="005519F8">
        <w:trPr>
          <w:jc w:val="center"/>
        </w:trPr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519F8" w:rsidRDefault="00E07AEB">
            <w:pPr>
              <w:tabs>
                <w:tab w:val="left" w:pos="-1080"/>
              </w:tabs>
              <w:jc w:val="center"/>
            </w:pPr>
            <w:r>
              <w:t>Цінова пропозиція, яка оцінюється ($)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5519F8" w:rsidRDefault="005519F8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</w:p>
    <w:p w:rsidR="005519F8" w:rsidRDefault="00E07AEB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rPr>
          <w:b/>
        </w:rPr>
      </w:pPr>
      <w:r>
        <w:rPr>
          <w:b/>
        </w:rPr>
        <w:t>Загальний бал</w:t>
      </w:r>
    </w:p>
    <w:p w:rsidR="005519F8" w:rsidRDefault="00E07AEB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jc w:val="both"/>
      </w:pPr>
      <w:bookmarkStart w:id="4" w:name="_heading=h.2jxsxqh" w:colFirst="0" w:colLast="0"/>
      <w:bookmarkEnd w:id="4"/>
      <w:r>
        <w:t>Сумарна оцінка для кожної пропозиції буде середньозваженою сумою оцінки за технічну та фінансову пропозиції. Максимальна сума балів - 100 балів.</w:t>
      </w:r>
    </w:p>
    <w:p w:rsidR="005519F8" w:rsidRDefault="005519F8">
      <w:pPr>
        <w:keepNext/>
        <w:keepLines/>
        <w:tabs>
          <w:tab w:val="left" w:pos="1980"/>
          <w:tab w:val="left" w:pos="2160"/>
          <w:tab w:val="left" w:pos="4320"/>
          <w:tab w:val="left" w:pos="-180"/>
        </w:tabs>
        <w:spacing w:after="0" w:line="240" w:lineRule="auto"/>
        <w:jc w:val="both"/>
        <w:rPr>
          <w:b/>
        </w:rPr>
      </w:pPr>
    </w:p>
    <w:tbl>
      <w:tblPr>
        <w:tblStyle w:val="affffff8"/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5519F8">
        <w:trPr>
          <w:jc w:val="center"/>
        </w:trPr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tabs>
                <w:tab w:val="left" w:pos="-1080"/>
              </w:tabs>
              <w:jc w:val="center"/>
            </w:pPr>
            <w:r>
              <w:t>Загальний бал =70% Технічної оцінки + 30% Фінансової оцінки</w:t>
            </w:r>
          </w:p>
        </w:tc>
      </w:tr>
    </w:tbl>
    <w:p w:rsidR="005519F8" w:rsidRDefault="005519F8">
      <w:pPr>
        <w:spacing w:after="0" w:line="240" w:lineRule="auto"/>
        <w:jc w:val="both"/>
        <w:rPr>
          <w:b/>
        </w:rPr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 xml:space="preserve">VI. Визначення переможця </w:t>
      </w: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Договір на термін до 23 грудня 2022 року між UNFPA та постачальником буде укладено з тим претендентом, чия пропозиція </w:t>
      </w:r>
      <w:r>
        <w:t>отримає найвищий загальний бал</w:t>
      </w:r>
      <w:r>
        <w:rPr>
          <w:color w:val="000000"/>
        </w:rPr>
        <w:t>.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color w:val="000000"/>
        </w:rPr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>VII. Право на змінення вимог під час прийняття рішень</w:t>
      </w: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  <w:rPr>
          <w:color w:val="000000"/>
        </w:rPr>
      </w:pPr>
      <w:r>
        <w:rPr>
          <w:color w:val="000000"/>
        </w:rPr>
        <w:tab/>
      </w:r>
      <w:r>
        <w:t>Фонд ООН у галузі народонаселення</w:t>
      </w:r>
      <w:r>
        <w:rPr>
          <w:color w:val="000000"/>
        </w:rPr>
        <w:t xml:space="preserve"> залишає за собою</w:t>
      </w:r>
      <w:r>
        <w:rPr>
          <w:color w:val="000000"/>
        </w:rPr>
        <w:t xml:space="preserve">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hanging="720"/>
        <w:jc w:val="both"/>
        <w:rPr>
          <w:color w:val="000000"/>
        </w:rPr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>VIII. Умови оплати</w:t>
      </w:r>
    </w:p>
    <w:p w:rsidR="005519F8" w:rsidRDefault="00E07AEB">
      <w:pPr>
        <w:tabs>
          <w:tab w:val="left" w:pos="-180"/>
          <w:tab w:val="left" w:pos="-90"/>
        </w:tabs>
        <w:spacing w:after="0" w:line="240" w:lineRule="auto"/>
        <w:jc w:val="both"/>
      </w:pPr>
      <w:r>
        <w:t xml:space="preserve">Оплата здійснюється відповідно до отримання Замовником перелічених вище продуктів </w:t>
      </w:r>
      <w:r>
        <w:t>(результатів роботи), а також на основі наданого повного пакету супровідної платіжної документації. Оплата здійснюється у валюті: українських гривнях. У випадку використання двох валют, курсом обміну вважається операційний курс Організації Об'єднаних Націй</w:t>
      </w:r>
      <w:r>
        <w:t xml:space="preserve"> в той день, в який Фонд ООН у галузі народонаселення повідомляє про здійснення цих платежів (веб: </w:t>
      </w:r>
      <w:hyperlink r:id="rId19">
        <w:r>
          <w:t>www.treasury.un.org</w:t>
        </w:r>
      </w:hyperlink>
      <w:r>
        <w:t>). Термін оплати складає 30 днів після отримання товаросупровідних документів, рахунків-факт</w:t>
      </w:r>
      <w:r>
        <w:t>ур та іншої документації, що вимагається договором.</w:t>
      </w:r>
    </w:p>
    <w:p w:rsidR="005519F8" w:rsidRDefault="005519F8">
      <w:pPr>
        <w:tabs>
          <w:tab w:val="left" w:pos="-180"/>
          <w:tab w:val="left" w:pos="-90"/>
        </w:tabs>
        <w:spacing w:after="0" w:line="240" w:lineRule="auto"/>
        <w:jc w:val="both"/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 xml:space="preserve">IX. </w:t>
      </w:r>
      <w:hyperlink r:id="rId20" w:anchor="FraudCorruption">
        <w:r>
          <w:rPr>
            <w:b/>
          </w:rPr>
          <w:t>Шахрайство</w:t>
        </w:r>
      </w:hyperlink>
      <w:r>
        <w:rPr>
          <w:b/>
        </w:rPr>
        <w:t xml:space="preserve"> і корупція</w:t>
      </w:r>
    </w:p>
    <w:p w:rsidR="005519F8" w:rsidRDefault="00E07A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5" w:name="_heading=h.2et92p0" w:colFirst="0" w:colLast="0"/>
      <w:bookmarkEnd w:id="5"/>
      <w:r>
        <w:rPr>
          <w:color w:val="000000"/>
        </w:rPr>
        <w:t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</w:t>
      </w:r>
      <w:r>
        <w:rPr>
          <w:color w:val="000000"/>
        </w:rPr>
        <w:t xml:space="preserve"> галузі народонаселення щодо шахрайства та корупції можна ознайомитися тут: </w:t>
      </w:r>
      <w:hyperlink r:id="rId21" w:anchor="overlay-context=node/10356/draft">
        <w:r>
          <w:rPr>
            <w:color w:val="0563C1"/>
            <w:u w:val="single"/>
          </w:rPr>
          <w:t>FraudPolicy</w:t>
        </w:r>
      </w:hyperlink>
      <w:r>
        <w:rPr>
          <w:color w:val="000000"/>
        </w:rPr>
        <w:t>. Подання пропозицій учасником передбачає, що останній ознайомл</w:t>
      </w:r>
      <w:r>
        <w:rPr>
          <w:color w:val="000000"/>
        </w:rPr>
        <w:t>ений з даними правилами.</w:t>
      </w:r>
    </w:p>
    <w:p w:rsidR="005519F8" w:rsidRDefault="00E07AEB">
      <w:pPr>
        <w:spacing w:after="0" w:line="240" w:lineRule="auto"/>
        <w:jc w:val="both"/>
      </w:pPr>
      <w: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</w:t>
      </w:r>
      <w:r>
        <w:t>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</w:t>
      </w:r>
      <w:r>
        <w:t>сіх необхідних 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</w:t>
      </w:r>
      <w:r>
        <w:t xml:space="preserve">реєстрованих Фондом постачальників. </w:t>
      </w:r>
    </w:p>
    <w:p w:rsidR="005519F8" w:rsidRDefault="00E07AEB">
      <w:pPr>
        <w:spacing w:after="0" w:line="240" w:lineRule="auto"/>
        <w:jc w:val="both"/>
        <w:rPr>
          <w:color w:val="0563C1"/>
          <w:u w:val="single"/>
        </w:rPr>
      </w:pPr>
      <w: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22">
        <w:r>
          <w:rPr>
            <w:color w:val="0563C1"/>
            <w:u w:val="single"/>
          </w:rPr>
          <w:t>UN</w:t>
        </w:r>
        <w:r>
          <w:rPr>
            <w:color w:val="0563C1"/>
            <w:u w:val="single"/>
          </w:rPr>
          <w:t>FPAInvestigationHotline</w:t>
        </w:r>
      </w:hyperlink>
      <w:r>
        <w:rPr>
          <w:color w:val="0563C1"/>
          <w:u w:val="single"/>
        </w:rPr>
        <w:t>.</w:t>
      </w:r>
    </w:p>
    <w:p w:rsidR="005519F8" w:rsidRDefault="005519F8">
      <w:pPr>
        <w:spacing w:after="0" w:line="240" w:lineRule="auto"/>
        <w:jc w:val="both"/>
        <w:rPr>
          <w:b/>
        </w:rPr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>X. Політика нульової толерантності</w:t>
      </w:r>
    </w:p>
    <w:p w:rsidR="005519F8" w:rsidRDefault="00E07AEB">
      <w:pPr>
        <w:spacing w:after="0" w:line="240" w:lineRule="auto"/>
        <w:jc w:val="both"/>
      </w:pPr>
      <w:r>
        <w:t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</w:t>
      </w:r>
      <w:r>
        <w:t xml:space="preserve">и вдячності співробітникам Фонду ООН у галузі народонаселення. Детальніше з цими правилами можна ознайомитися тут: </w:t>
      </w:r>
      <w:hyperlink r:id="rId23" w:anchor="ZeroTolerance">
        <w:r>
          <w:rPr>
            <w:color w:val="0563C1"/>
            <w:u w:val="single"/>
          </w:rPr>
          <w:t>ZeroTolerancePolicy</w:t>
        </w:r>
      </w:hyperlink>
      <w:r>
        <w:t>.</w:t>
      </w:r>
    </w:p>
    <w:p w:rsidR="005519F8" w:rsidRDefault="005519F8">
      <w:pPr>
        <w:spacing w:after="0" w:line="240" w:lineRule="auto"/>
        <w:jc w:val="both"/>
        <w:rPr>
          <w:b/>
        </w:rPr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>XI. Опротестування процесу подання пропозицій</w:t>
      </w:r>
    </w:p>
    <w:p w:rsidR="005519F8" w:rsidRDefault="00E07AEB">
      <w:pPr>
        <w:tabs>
          <w:tab w:val="left" w:pos="851"/>
        </w:tabs>
        <w:spacing w:after="0" w:line="240" w:lineRule="auto"/>
        <w:jc w:val="both"/>
      </w:pPr>
      <w:r>
        <w:t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ЮНФПА Олесі Компанієць на електро</w:t>
      </w:r>
      <w:r>
        <w:t xml:space="preserve">нну пошту: </w:t>
      </w:r>
      <w:hyperlink r:id="rId24">
        <w:r>
          <w:t>kompaniiets@unfpa.org</w:t>
        </w:r>
      </w:hyperlink>
      <w:r>
        <w:t>. У разі незадоволення відповіддю, наданою керівником підрозділу ЮНФПА, претендент може звернутися до Голови Відділу закупівель Фонду ООН у галузі народонаселення</w:t>
      </w:r>
      <w:r>
        <w:rPr>
          <w:color w:val="003366"/>
          <w:u w:val="single"/>
        </w:rPr>
        <w:t xml:space="preserve"> </w:t>
      </w:r>
      <w:hyperlink r:id="rId25">
        <w:r>
          <w:rPr>
            <w:color w:val="003366"/>
            <w:u w:val="single"/>
          </w:rPr>
          <w:t>procurement@unfpa.org</w:t>
        </w:r>
      </w:hyperlink>
      <w:r>
        <w:t>.</w:t>
      </w:r>
    </w:p>
    <w:p w:rsidR="005519F8" w:rsidRDefault="005519F8">
      <w:pPr>
        <w:tabs>
          <w:tab w:val="left" w:pos="851"/>
        </w:tabs>
        <w:spacing w:after="0" w:line="240" w:lineRule="auto"/>
        <w:jc w:val="both"/>
      </w:pPr>
    </w:p>
    <w:p w:rsidR="005519F8" w:rsidRDefault="00E07AEB">
      <w:pPr>
        <w:spacing w:after="0" w:line="240" w:lineRule="auto"/>
        <w:jc w:val="both"/>
        <w:rPr>
          <w:b/>
        </w:rPr>
      </w:pPr>
      <w:r>
        <w:rPr>
          <w:b/>
        </w:rPr>
        <w:t>XII. Зауваження</w:t>
      </w:r>
    </w:p>
    <w:p w:rsidR="005519F8" w:rsidRDefault="00E07AEB">
      <w:pPr>
        <w:spacing w:after="0" w:line="240" w:lineRule="auto"/>
        <w:jc w:val="both"/>
      </w:pPr>
      <w:r>
        <w:t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</w:t>
      </w:r>
      <w:r>
        <w:t xml:space="preserve">ті PDF. </w:t>
      </w:r>
    </w:p>
    <w:p w:rsidR="005519F8" w:rsidRDefault="00E07AEB">
      <w:pPr>
        <w:spacing w:after="0" w:line="240" w:lineRule="auto"/>
        <w:rPr>
          <w:b/>
          <w:smallCaps/>
        </w:rPr>
      </w:pPr>
      <w:r>
        <w:br w:type="page"/>
      </w:r>
    </w:p>
    <w:p w:rsidR="005519F8" w:rsidRDefault="00E07AEB">
      <w:pPr>
        <w:spacing w:after="0" w:line="240" w:lineRule="auto"/>
      </w:pPr>
      <w:r>
        <w:rPr>
          <w:b/>
          <w:smallCaps/>
        </w:rPr>
        <w:lastRenderedPageBreak/>
        <w:t>БЛАНК ЦІНОВОЇ ПРОПОЗИЦІЇ</w:t>
      </w:r>
    </w:p>
    <w:p w:rsidR="005519F8" w:rsidRDefault="005519F8">
      <w:pPr>
        <w:spacing w:after="0" w:line="240" w:lineRule="auto"/>
        <w:jc w:val="center"/>
        <w:rPr>
          <w:b/>
          <w:smallCaps/>
        </w:rPr>
      </w:pPr>
    </w:p>
    <w:tbl>
      <w:tblPr>
        <w:tblStyle w:val="affffff9"/>
        <w:tblW w:w="962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605"/>
        <w:gridCol w:w="3496"/>
        <w:gridCol w:w="1559"/>
        <w:gridCol w:w="431"/>
        <w:gridCol w:w="813"/>
        <w:gridCol w:w="1199"/>
        <w:gridCol w:w="1522"/>
      </w:tblGrid>
      <w:tr w:rsidR="005519F8">
        <w:tc>
          <w:tcPr>
            <w:tcW w:w="6091" w:type="dxa"/>
            <w:gridSpan w:val="4"/>
          </w:tcPr>
          <w:p w:rsidR="005519F8" w:rsidRDefault="00E07AEB">
            <w:pPr>
              <w:rPr>
                <w:b/>
              </w:rPr>
            </w:pPr>
            <w:r>
              <w:rPr>
                <w:b/>
              </w:rPr>
              <w:t>Найменування претендента:</w:t>
            </w:r>
          </w:p>
        </w:tc>
        <w:tc>
          <w:tcPr>
            <w:tcW w:w="3534" w:type="dxa"/>
            <w:gridSpan w:val="3"/>
            <w:vAlign w:val="center"/>
          </w:tcPr>
          <w:p w:rsidR="005519F8" w:rsidRDefault="005519F8">
            <w:pPr>
              <w:jc w:val="center"/>
            </w:pPr>
          </w:p>
        </w:tc>
      </w:tr>
      <w:tr w:rsidR="005519F8">
        <w:tc>
          <w:tcPr>
            <w:tcW w:w="6091" w:type="dxa"/>
            <w:gridSpan w:val="4"/>
          </w:tcPr>
          <w:p w:rsidR="005519F8" w:rsidRDefault="00E07AEB">
            <w:pPr>
              <w:rPr>
                <w:b/>
              </w:rPr>
            </w:pPr>
            <w:r>
              <w:rPr>
                <w:b/>
              </w:rPr>
              <w:t>Дата подання:</w:t>
            </w:r>
          </w:p>
        </w:tc>
        <w:tc>
          <w:tcPr>
            <w:tcW w:w="3534" w:type="dxa"/>
            <w:gridSpan w:val="3"/>
            <w:vAlign w:val="center"/>
          </w:tcPr>
          <w:p w:rsidR="005519F8" w:rsidRDefault="00E07AEB">
            <w:pPr>
              <w:jc w:val="center"/>
            </w:pPr>
            <w:r>
              <w:rPr>
                <w:color w:val="808080"/>
              </w:rPr>
              <w:t>Click here to enter a date.</w:t>
            </w:r>
          </w:p>
        </w:tc>
      </w:tr>
      <w:tr w:rsidR="005519F8">
        <w:tc>
          <w:tcPr>
            <w:tcW w:w="6091" w:type="dxa"/>
            <w:gridSpan w:val="4"/>
          </w:tcPr>
          <w:p w:rsidR="005519F8" w:rsidRDefault="00E07AEB">
            <w:pPr>
              <w:rPr>
                <w:b/>
              </w:rPr>
            </w:pPr>
            <w:r>
              <w:rPr>
                <w:b/>
              </w:rPr>
              <w:t>Номер запиту:</w:t>
            </w:r>
          </w:p>
        </w:tc>
        <w:tc>
          <w:tcPr>
            <w:tcW w:w="3534" w:type="dxa"/>
            <w:gridSpan w:val="3"/>
            <w:vAlign w:val="center"/>
          </w:tcPr>
          <w:p w:rsidR="005519F8" w:rsidRDefault="00E07AEB">
            <w:pPr>
              <w:jc w:val="center"/>
              <w:rPr>
                <w:b/>
              </w:rPr>
            </w:pPr>
            <w:bookmarkStart w:id="6" w:name="_heading=h.44sinio" w:colFirst="0" w:colLast="0"/>
            <w:bookmarkEnd w:id="6"/>
            <w:r>
              <w:rPr>
                <w:b/>
              </w:rPr>
              <w:t>RFQNº UNFPA/UKR/RFQ/22/33</w:t>
            </w:r>
          </w:p>
        </w:tc>
      </w:tr>
      <w:tr w:rsidR="005519F8">
        <w:tc>
          <w:tcPr>
            <w:tcW w:w="6091" w:type="dxa"/>
            <w:gridSpan w:val="4"/>
          </w:tcPr>
          <w:p w:rsidR="005519F8" w:rsidRDefault="00E07AEB">
            <w:pPr>
              <w:rPr>
                <w:b/>
              </w:rPr>
            </w:pPr>
            <w:r>
              <w:rPr>
                <w:b/>
              </w:rPr>
              <w:t>Валюта:</w:t>
            </w:r>
          </w:p>
        </w:tc>
        <w:tc>
          <w:tcPr>
            <w:tcW w:w="3534" w:type="dxa"/>
            <w:gridSpan w:val="3"/>
            <w:vAlign w:val="center"/>
          </w:tcPr>
          <w:p w:rsidR="005519F8" w:rsidRDefault="005519F8">
            <w:pPr>
              <w:jc w:val="center"/>
            </w:pPr>
          </w:p>
        </w:tc>
      </w:tr>
      <w:tr w:rsidR="005519F8">
        <w:tc>
          <w:tcPr>
            <w:tcW w:w="6091" w:type="dxa"/>
            <w:gridSpan w:val="4"/>
            <w:tcBorders>
              <w:bottom w:val="single" w:sz="4" w:space="0" w:color="F2F2F2"/>
            </w:tcBorders>
          </w:tcPr>
          <w:p w:rsidR="005519F8" w:rsidRDefault="00E07AEB">
            <w:pPr>
              <w:rPr>
                <w:b/>
              </w:rPr>
            </w:pPr>
            <w:r>
              <w:rPr>
                <w:b/>
              </w:rPr>
              <w:t>Термін дії цінової пропозиції:</w:t>
            </w:r>
          </w:p>
          <w:p w:rsidR="005519F8" w:rsidRDefault="00E07AEB">
            <w:pPr>
              <w:jc w:val="both"/>
              <w:rPr>
                <w:i/>
              </w:rPr>
            </w:pPr>
            <w:r>
              <w:rPr>
                <w:i/>
              </w:rPr>
              <w:t>(пропозиція має бути чинною протягом щонайменше 2 місяці після кінцевого строку надсилання пропозицій)</w:t>
            </w:r>
          </w:p>
          <w:p w:rsidR="005519F8" w:rsidRDefault="00E07AEB">
            <w:pPr>
              <w:jc w:val="both"/>
              <w:rPr>
                <w:b/>
                <w:i/>
              </w:rPr>
            </w:pPr>
            <w:r>
              <w:rPr>
                <w:b/>
                <w:i/>
                <w:color w:val="C00000"/>
                <w:u w:val="single"/>
              </w:rPr>
              <w:t>Пропозиції надаються без урахування ПДВ оскільки UNFPA, Фонд ООН у галузі народонаселення в Україні звільнено від сплати ПДВ</w:t>
            </w:r>
          </w:p>
        </w:tc>
        <w:tc>
          <w:tcPr>
            <w:tcW w:w="3534" w:type="dxa"/>
            <w:gridSpan w:val="3"/>
            <w:tcBorders>
              <w:bottom w:val="single" w:sz="4" w:space="0" w:color="F2F2F2"/>
            </w:tcBorders>
            <w:vAlign w:val="center"/>
          </w:tcPr>
          <w:p w:rsidR="005519F8" w:rsidRDefault="005519F8">
            <w:pPr>
              <w:jc w:val="center"/>
            </w:pPr>
          </w:p>
        </w:tc>
      </w:tr>
      <w:tr w:rsidR="005519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№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Опис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Кількість співробітників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Погодинна оплата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Кількість годин роботи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center"/>
            </w:pPr>
            <w:r>
              <w:t>Загалом</w:t>
            </w:r>
          </w:p>
        </w:tc>
      </w:tr>
      <w:tr w:rsidR="005519F8"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numPr>
                <w:ilvl w:val="0"/>
                <w:numId w:val="7"/>
              </w:numPr>
              <w:tabs>
                <w:tab w:val="left" w:pos="360"/>
              </w:tabs>
              <w:ind w:left="360" w:hanging="360"/>
            </w:pPr>
            <w:r>
              <w:t xml:space="preserve">Гонорари працівникам </w:t>
            </w:r>
          </w:p>
        </w:tc>
      </w:tr>
      <w:tr w:rsidR="005519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</w:tr>
      <w:tr w:rsidR="005519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</w:tr>
      <w:tr w:rsidR="005519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</w:tr>
      <w:tr w:rsidR="005519F8"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right"/>
            </w:pPr>
            <w:r>
              <w:rPr>
                <w:i/>
              </w:rPr>
              <w:t>Загальна сума гонорару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right"/>
            </w:pPr>
          </w:p>
        </w:tc>
      </w:tr>
      <w:tr w:rsidR="005519F8">
        <w:tc>
          <w:tcPr>
            <w:tcW w:w="96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numPr>
                <w:ilvl w:val="0"/>
                <w:numId w:val="9"/>
              </w:numPr>
              <w:tabs>
                <w:tab w:val="left" w:pos="360"/>
              </w:tabs>
              <w:ind w:left="360" w:hanging="360"/>
              <w:jc w:val="both"/>
            </w:pPr>
            <w:r>
              <w:t>Інші витрати</w:t>
            </w:r>
          </w:p>
        </w:tc>
      </w:tr>
      <w:tr w:rsidR="005519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</w:tr>
      <w:tr w:rsidR="005519F8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both"/>
            </w:pPr>
          </w:p>
        </w:tc>
      </w:tr>
      <w:tr w:rsidR="005519F8"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right"/>
            </w:pPr>
            <w:r>
              <w:rPr>
                <w:i/>
              </w:rPr>
              <w:t>Загальна сума інших витрат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right"/>
            </w:pPr>
          </w:p>
        </w:tc>
      </w:tr>
      <w:tr w:rsidR="005519F8">
        <w:tc>
          <w:tcPr>
            <w:tcW w:w="8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E07AEB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Загальна сума контракту</w:t>
            </w:r>
          </w:p>
          <w:p w:rsidR="005519F8" w:rsidRDefault="00E07AEB">
            <w:pPr>
              <w:jc w:val="right"/>
            </w:pPr>
            <w:r>
              <w:rPr>
                <w:i/>
              </w:rPr>
              <w:t xml:space="preserve"> (гонорари працівникам+ інші витрати), грн. без ПДВ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519F8" w:rsidRDefault="005519F8">
            <w:pPr>
              <w:jc w:val="right"/>
            </w:pPr>
          </w:p>
        </w:tc>
      </w:tr>
    </w:tbl>
    <w:p w:rsidR="005519F8" w:rsidRDefault="00E07AEB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146800" cy="723900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1650" y="3437100"/>
                          <a:ext cx="6108700" cy="6858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519F8" w:rsidRDefault="00E07AE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6146800" cy="723900"/>
                <wp:effectExtent b="0" l="0" r="0" t="0"/>
                <wp:wrapNone/>
                <wp:docPr id="7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68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519F8" w:rsidRDefault="005519F8">
      <w:pPr>
        <w:tabs>
          <w:tab w:val="left" w:pos="-180"/>
          <w:tab w:val="right" w:pos="1980"/>
          <w:tab w:val="left" w:pos="2160"/>
          <w:tab w:val="left" w:pos="4320"/>
        </w:tabs>
        <w:spacing w:after="0" w:line="240" w:lineRule="auto"/>
        <w:rPr>
          <w:b/>
        </w:rPr>
      </w:pPr>
    </w:p>
    <w:p w:rsidR="005519F8" w:rsidRDefault="00551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5519F8" w:rsidRDefault="005519F8">
      <w:pPr>
        <w:spacing w:after="0" w:line="240" w:lineRule="auto"/>
        <w:jc w:val="both"/>
      </w:pPr>
    </w:p>
    <w:p w:rsidR="005519F8" w:rsidRDefault="00E07AEB">
      <w:pPr>
        <w:spacing w:after="0" w:line="240" w:lineRule="auto"/>
        <w:jc w:val="both"/>
        <w:rPr>
          <w:b/>
        </w:rPr>
      </w:pPr>
      <w:r>
        <w:t xml:space="preserve">Цим засвідчую, що вище вказана компанія, яку я уповноважений представляти, переглянула </w:t>
      </w:r>
      <w:r>
        <w:rPr>
          <w:b/>
        </w:rPr>
        <w:t xml:space="preserve">Запит на Подання Пропозицій RFQ Nº UNFPA/UKR/RFQ/22/33 [Втілення заходів у межах кампанії «16 днів активізму проти ГЗН» у цільових громадах] </w:t>
      </w:r>
      <w:r>
        <w:t>у тому числі всі додатки, зміни в документі (якщо такі мають місце) та відповіді Фонду ООН у галузі народонаселення</w:t>
      </w:r>
      <w:r>
        <w:t xml:space="preserve"> на уточнювальні питання Фонду ООН у галузі народонаселення з боку потенційного постачальника. Також, компанія приймає Загальні умови договору та буде дотримуватися цієї цінової пропозиції до моменту закінчення терміну дії останньої. </w:t>
      </w:r>
    </w:p>
    <w:tbl>
      <w:tblPr>
        <w:tblStyle w:val="affffffa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5519F8">
        <w:tc>
          <w:tcPr>
            <w:tcW w:w="4623" w:type="dxa"/>
            <w:shd w:val="clear" w:color="auto" w:fill="auto"/>
            <w:vAlign w:val="center"/>
          </w:tcPr>
          <w:p w:rsidR="005519F8" w:rsidRDefault="005519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  <w:p w:rsidR="005519F8" w:rsidRDefault="005519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5519F8" w:rsidRDefault="00E07AE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rPr>
                <w:color w:val="808080"/>
              </w:rPr>
              <w:t>Click here to enter</w:t>
            </w:r>
            <w:r>
              <w:rPr>
                <w:color w:val="808080"/>
              </w:rPr>
              <w:t xml:space="preserve">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5519F8" w:rsidRDefault="005519F8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</w:pPr>
          </w:p>
        </w:tc>
      </w:tr>
      <w:tr w:rsidR="005519F8">
        <w:tc>
          <w:tcPr>
            <w:tcW w:w="4623" w:type="dxa"/>
            <w:shd w:val="clear" w:color="auto" w:fill="auto"/>
            <w:vAlign w:val="center"/>
          </w:tcPr>
          <w:p w:rsidR="005519F8" w:rsidRDefault="00E07AE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5519F8" w:rsidRDefault="00E07AEB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</w:pPr>
            <w:r>
              <w:t>Дата та місце</w:t>
            </w:r>
          </w:p>
        </w:tc>
      </w:tr>
    </w:tbl>
    <w:p w:rsidR="005519F8" w:rsidRDefault="005519F8">
      <w:pPr>
        <w:spacing w:after="0" w:line="240" w:lineRule="auto"/>
        <w:jc w:val="center"/>
        <w:rPr>
          <w:b/>
        </w:rPr>
      </w:pPr>
    </w:p>
    <w:p w:rsidR="005519F8" w:rsidRDefault="005519F8">
      <w:pPr>
        <w:spacing w:after="0" w:line="240" w:lineRule="auto"/>
        <w:jc w:val="center"/>
        <w:rPr>
          <w:b/>
        </w:rPr>
      </w:pPr>
    </w:p>
    <w:p w:rsidR="005519F8" w:rsidRDefault="00E07AEB">
      <w:pPr>
        <w:rPr>
          <w:b/>
        </w:rPr>
      </w:pPr>
      <w:r>
        <w:br w:type="page"/>
      </w:r>
    </w:p>
    <w:p w:rsidR="005519F8" w:rsidRDefault="00E07AE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Додаток I:</w:t>
      </w:r>
    </w:p>
    <w:p w:rsidR="005519F8" w:rsidRDefault="00E07AEB">
      <w:pPr>
        <w:spacing w:after="0" w:line="240" w:lineRule="auto"/>
        <w:jc w:val="center"/>
        <w:rPr>
          <w:b/>
        </w:rPr>
      </w:pPr>
      <w:r>
        <w:rPr>
          <w:b/>
        </w:rPr>
        <w:t>Загальні умови договору:</w:t>
      </w:r>
    </w:p>
    <w:p w:rsidR="005519F8" w:rsidRDefault="005519F8">
      <w:pPr>
        <w:spacing w:after="0" w:line="240" w:lineRule="auto"/>
      </w:pPr>
    </w:p>
    <w:p w:rsidR="005519F8" w:rsidRDefault="005519F8">
      <w:pPr>
        <w:tabs>
          <w:tab w:val="left" w:pos="7020"/>
        </w:tabs>
        <w:spacing w:after="0" w:line="240" w:lineRule="auto"/>
      </w:pPr>
    </w:p>
    <w:p w:rsidR="005519F8" w:rsidRDefault="00E07AEB">
      <w:pPr>
        <w:tabs>
          <w:tab w:val="left" w:pos="7020"/>
        </w:tabs>
        <w:spacing w:after="0" w:line="240" w:lineRule="auto"/>
        <w:jc w:val="both"/>
      </w:pPr>
      <w:r>
        <w:t xml:space="preserve">Цей запит на подання пропозицій підпадає під дію Загальних умов договору UNFPA, Фонду ООН у галузі народонаселення, який можна знайти тут: </w:t>
      </w:r>
      <w:r>
        <w:rPr>
          <w:color w:val="0563C1"/>
          <w:u w:val="single"/>
        </w:rPr>
        <w:t>https://www.unfpa.org/resources/unfpa-general-conditions-provision-services</w:t>
      </w:r>
    </w:p>
    <w:p w:rsidR="005519F8" w:rsidRDefault="005519F8">
      <w:pPr>
        <w:spacing w:after="0" w:line="240" w:lineRule="auto"/>
      </w:pPr>
    </w:p>
    <w:p w:rsidR="005519F8" w:rsidRDefault="005519F8">
      <w:pPr>
        <w:spacing w:after="0" w:line="240" w:lineRule="auto"/>
      </w:pPr>
    </w:p>
    <w:sectPr w:rsidR="005519F8">
      <w:headerReference w:type="default" r:id="rId27"/>
      <w:footerReference w:type="default" r:id="rId28"/>
      <w:pgSz w:w="11907" w:h="16839"/>
      <w:pgMar w:top="850" w:right="850" w:bottom="850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AEB" w:rsidRDefault="00E07AEB">
      <w:pPr>
        <w:spacing w:after="0" w:line="240" w:lineRule="auto"/>
      </w:pPr>
      <w:r>
        <w:separator/>
      </w:r>
    </w:p>
  </w:endnote>
  <w:endnote w:type="continuationSeparator" w:id="0">
    <w:p w:rsidR="00E07AEB" w:rsidRDefault="00E0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F8" w:rsidRDefault="00E07AEB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:rsidR="005519F8" w:rsidRDefault="005519F8">
    <w:pPr>
      <w:tabs>
        <w:tab w:val="center" w:pos="4986"/>
        <w:tab w:val="right" w:pos="9973"/>
      </w:tabs>
      <w:spacing w:after="0" w:line="240" w:lineRule="auto"/>
      <w:jc w:val="center"/>
      <w:rPr>
        <w:color w:val="548DD4"/>
      </w:rPr>
    </w:pPr>
  </w:p>
  <w:p w:rsidR="005519F8" w:rsidRDefault="005519F8">
    <w:pPr>
      <w:tabs>
        <w:tab w:val="center" w:pos="4986"/>
        <w:tab w:val="right" w:pos="9973"/>
      </w:tabs>
      <w:spacing w:after="0" w:line="240" w:lineRule="auto"/>
    </w:pPr>
  </w:p>
  <w:p w:rsidR="005519F8" w:rsidRDefault="005519F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center"/>
      <w:rPr>
        <w:color w:val="548DD4"/>
      </w:rPr>
    </w:pPr>
  </w:p>
  <w:p w:rsidR="005519F8" w:rsidRDefault="005519F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AEB" w:rsidRDefault="00E07AEB">
      <w:pPr>
        <w:spacing w:after="0" w:line="240" w:lineRule="auto"/>
      </w:pPr>
      <w:r>
        <w:separator/>
      </w:r>
    </w:p>
  </w:footnote>
  <w:footnote w:type="continuationSeparator" w:id="0">
    <w:p w:rsidR="00E07AEB" w:rsidRDefault="00E0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F8" w:rsidRDefault="00E07AE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12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79" name="image2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519F8" w:rsidRDefault="00E07AE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:rsidR="005519F8" w:rsidRDefault="00E07AE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:rsidR="005519F8" w:rsidRDefault="00E07AE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>
      <w:r>
        <w:rPr>
          <w:color w:val="0563C1"/>
          <w:sz w:val="18"/>
          <w:szCs w:val="18"/>
          <w:u w:val="single"/>
        </w:rPr>
        <w:t>www.unfpa.org.ua</w:t>
      </w:r>
    </w:hyperlink>
  </w:p>
  <w:p w:rsidR="005519F8" w:rsidRDefault="005519F8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DB3"/>
    <w:multiLevelType w:val="multilevel"/>
    <w:tmpl w:val="78EEA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3C1200"/>
    <w:multiLevelType w:val="multilevel"/>
    <w:tmpl w:val="78523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AF036E"/>
    <w:multiLevelType w:val="multilevel"/>
    <w:tmpl w:val="8982AC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8461F1"/>
    <w:multiLevelType w:val="multilevel"/>
    <w:tmpl w:val="53F4517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9D2EB9"/>
    <w:multiLevelType w:val="multilevel"/>
    <w:tmpl w:val="4AFC293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F3301CC"/>
    <w:multiLevelType w:val="multilevel"/>
    <w:tmpl w:val="457C32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94332D"/>
    <w:multiLevelType w:val="multilevel"/>
    <w:tmpl w:val="164EFD8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76A739E"/>
    <w:multiLevelType w:val="multilevel"/>
    <w:tmpl w:val="6A584F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E7779A6"/>
    <w:multiLevelType w:val="multilevel"/>
    <w:tmpl w:val="36C825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F8"/>
    <w:rsid w:val="005519F8"/>
    <w:rsid w:val="00D21572"/>
    <w:rsid w:val="00E0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32DEC-A3CC-491F-81C2-64B470CE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0"/>
    <w:tblPr>
      <w:tblStyleRowBandSize w:val="1"/>
      <w:tblStyleColBandSize w:val="1"/>
    </w:tblPr>
  </w:style>
  <w:style w:type="table" w:customStyle="1" w:styleId="a2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9D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D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80D00"/>
    <w:rPr>
      <w:color w:val="954F72" w:themeColor="followedHyperlink"/>
      <w:u w:val="single"/>
    </w:r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irvykolo.org/" TargetMode="External"/><Relationship Id="rId13" Type="http://schemas.openxmlformats.org/officeDocument/2006/relationships/hyperlink" Target="https://ukraine.unfpa.org/uk/news/unfpa-%D1%84%D0%BE%D0%BD%D0%B4-%D0%BE%D0%BE%D0%BD-%D1%83-%D0%B3%D0%B0%D0%BB%D1%83%D0%B7%D1%96-%D0%BD%D0%B0%D1%80%D0%BE%D0%B4%D0%BE%D0%BD%D0%B0%D1%81%D0%B5%D0%BB%D0%B5%D0%BD%D0%BD%D1%8F-%D1%82%D0%B0-%D1%83%D0%BA%D1%80%D0%B0%D1%97%D0%BD%D1%81%D1%8C%D0%BA%D0%B8%D0%B9-%D0%B1%D1%80%D0%B5%D0%BD%D0%B4-dari-jewelry-%D1%81%D1%82%D0%B2%D0%BE%D1%80%D0%B8%D0%BB%D0%B8-%D0%B1%D1%80%D0%B0%D1%81%D0%BB%D0%B5%D1%82%D0%B8" TargetMode="External"/><Relationship Id="rId18" Type="http://schemas.openxmlformats.org/officeDocument/2006/relationships/hyperlink" Target="https://ukraine.unfpa.org/uk/PSS_mobile_teams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www.unfpa.org/resources/fraud-policy-200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nfpa.ukraine.tilda.ws/woman_sit_down" TargetMode="External"/><Relationship Id="rId17" Type="http://schemas.openxmlformats.org/officeDocument/2006/relationships/hyperlink" Target="https://megogo.net/ua/view/16975795-rozirvi-kolo.html" TargetMode="External"/><Relationship Id="rId25" Type="http://schemas.openxmlformats.org/officeDocument/2006/relationships/hyperlink" Target="mailto:procurement@unfp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gogo.net/ua/view/16975795-rozirvi-kolo.html" TargetMode="External"/><Relationship Id="rId20" Type="http://schemas.openxmlformats.org/officeDocument/2006/relationships/hyperlink" Target="http://www.unfpa.org/about-procuremen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HKEyK9kOqo" TargetMode="External"/><Relationship Id="rId24" Type="http://schemas.openxmlformats.org/officeDocument/2006/relationships/hyperlink" Target="mailto:kompaniiets@unfp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ichutim2021.rozirvykolo.org" TargetMode="External"/><Relationship Id="rId23" Type="http://schemas.openxmlformats.org/officeDocument/2006/relationships/hyperlink" Target="http://www.unfpa.org/about-procurement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instagram.com/rozirvy_kolo/" TargetMode="External"/><Relationship Id="rId19" Type="http://schemas.openxmlformats.org/officeDocument/2006/relationships/hyperlink" Target="http://www.treasury.u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rozirvykolo/" TargetMode="External"/><Relationship Id="rId14" Type="http://schemas.openxmlformats.org/officeDocument/2006/relationships/hyperlink" Target="https://richutim.rozirvykolo.org" TargetMode="External"/><Relationship Id="rId22" Type="http://schemas.openxmlformats.org/officeDocument/2006/relationships/hyperlink" Target="http://web2.unfpa.org/help/hotline.cf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skILZbxnM/r6M8Uu0l6Qz+JbWQ==">AMUW2mVgKglrOQ/43WZudNiqZZTvuozpub+LTUVy9CpdIPbpqOlS5Ufm/MAkxcJRlNjt1eN5qe3JmX5SaTggiZQBwSzBwWNE/2Fgg0StuLiF4AytTppJZ3RN7wCaFrgnhjg1atO2obpCXt8yq95ni4qto96ilX9Ub8GSQ6RF30zXrb0YRr7eED7UMSmXkSdgimyfM3hqqKoa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5485</Words>
  <Characters>31267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UNFPA GBV Programme</dc:creator>
  <cp:lastModifiedBy>IT</cp:lastModifiedBy>
  <cp:revision>2</cp:revision>
  <dcterms:created xsi:type="dcterms:W3CDTF">2022-09-20T10:59:00Z</dcterms:created>
  <dcterms:modified xsi:type="dcterms:W3CDTF">2022-09-20T10:59:00Z</dcterms:modified>
</cp:coreProperties>
</file>