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9" w:rsidRDefault="004656B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Authorized by: </w:t>
      </w:r>
    </w:p>
    <w:p w:rsidR="00C42149" w:rsidRDefault="004656B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Jaime Nadal</w:t>
      </w:r>
    </w:p>
    <w:p w:rsidR="00C42149" w:rsidRDefault="004656B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UNFPA Representative</w:t>
      </w:r>
    </w:p>
    <w:p w:rsidR="00C42149" w:rsidRDefault="00C4214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C42149" w:rsidRDefault="004656B5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29.06.23</w:t>
      </w:r>
    </w:p>
    <w:p w:rsidR="00C42149" w:rsidRDefault="00C42149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42149" w:rsidRDefault="004656B5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 for Quotation No. UNFPA/UKR/RFQ/2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color w:val="1F497D"/>
        </w:rPr>
      </w:pP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Sir/Madam, </w:t>
      </w: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hereby solicit your quotation for the supply of </w:t>
      </w:r>
      <w:r>
        <w:rPr>
          <w:rFonts w:ascii="Times New Roman" w:eastAsia="Times New Roman" w:hAnsi="Times New Roman" w:cs="Times New Roman"/>
          <w:b/>
        </w:rPr>
        <w:t xml:space="preserve">2500 Winterized kits </w:t>
      </w:r>
      <w:r>
        <w:rPr>
          <w:rFonts w:ascii="Times New Roman" w:eastAsia="Times New Roman" w:hAnsi="Times New Roman" w:cs="Times New Roman"/>
        </w:rPr>
        <w:t xml:space="preserve">and their LAND shipment to </w:t>
      </w:r>
      <w:r>
        <w:rPr>
          <w:rFonts w:ascii="Times New Roman" w:eastAsia="Times New Roman" w:hAnsi="Times New Roman" w:cs="Times New Roman"/>
          <w:b/>
          <w:u w:val="single"/>
        </w:rPr>
        <w:t xml:space="preserve">our Dnipro warehouse, Ukraine </w:t>
      </w:r>
      <w:r>
        <w:rPr>
          <w:rFonts w:ascii="Times New Roman" w:eastAsia="Times New Roman" w:hAnsi="Times New Roman" w:cs="Times New Roman"/>
        </w:rPr>
        <w:t xml:space="preserve"> as per </w:t>
      </w:r>
      <w:r w:rsidR="0065031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specifications</w:t>
      </w:r>
      <w:r>
        <w:rPr>
          <w:rFonts w:ascii="Times New Roman" w:eastAsia="Times New Roman" w:hAnsi="Times New Roman" w:cs="Times New Roman"/>
        </w:rPr>
        <w:t xml:space="preserve"> below:</w:t>
      </w: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 desired delivery period is up to 1st September 2023. </w:t>
      </w: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3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45"/>
        <w:gridCol w:w="5055"/>
        <w:gridCol w:w="2025"/>
        <w:gridCol w:w="675"/>
      </w:tblGrid>
      <w:tr w:rsidR="00C42149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Specification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Q-ty</w:t>
            </w:r>
          </w:p>
        </w:tc>
      </w:tr>
      <w:tr w:rsidR="00C42149">
        <w:trPr>
          <w:trHeight w:val="63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Female Underwear (panty) - Size small 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Underwear for Women High Waisted Stretchy Cotton Panties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3 pcs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500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 Underwear (panty) - Size medium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Underwear for Women High Waisted Stretchy Cotton Panties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3 pcs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1000 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Female Underwear (panty) - Size large 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Underwear for Women High Waisted Stretchy Cotton Panties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3 pcs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1000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Women's thermal underwear -Size small 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Pieces- Top and Bottom are included. Size small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(top + bottom)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500 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Women's thermal underwear- Size medium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Pieces- Top and Bottom are included. Size medium</w:t>
            </w:r>
          </w:p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(top + bottom)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Women's thermal underwear - Size large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Pieces- Top and Bottom are included. Size large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(top + bottom)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Socks one size (33-38)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Cotton socks size 33-38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Packs containing 5 pcs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500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Socks one size (39-42)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Cotton socks size 39-42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Packs containing 5 pcs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2000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Menstrual pads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Menstrual pads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2 pcs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Intimate hygiene wipes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 wipes not less than 15 pieces in the package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Package 15 pcs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Body wipes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 wipes not less than 80 pieces in the package, size not less than, 20 x 12 cm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wipes in each set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sanitizers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least 120 ml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Bottle 120 ml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9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Bath towels 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Towel 50x90</w:t>
            </w:r>
          </w:p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 100% cotton</w:t>
            </w:r>
          </w:p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 / m² 400 g / m².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Backpack 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Lightweight city backpack. 1 compartment with a partition, e.g. for a laptop, and a front pocket. Branded with UNFPA logo printed or sewn on.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 fleece blanket, medium-sized</w:t>
            </w:r>
          </w:p>
        </w:tc>
        <w:tc>
          <w:tcPr>
            <w:tcW w:w="505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Dimensions</w:t>
            </w:r>
          </w:p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Width: 130 cm, Length: 170 cm</w:t>
            </w:r>
          </w:p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Composition: 100% polyester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Torch / flashlight (self-powered)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 to medium sized handheld torch with LED bulbs of minimum 50 lumens.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Bath soap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Without dyes and perfume composition, does not dry the skin, does not cause irritation. Designed for children and adults with sensitive skin.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 100 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Toothpaste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Toothpaste not less than 100 gr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Tube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Toothbrush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Medium stiffness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Hair brush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Shampoo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Universal for all hair types at least 200 ml 3 in one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 Cream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hygienic skin care of medical staff at least 60 ml; </w:t>
            </w:r>
          </w:p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Simply moisturizing and restorative.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Deodorant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Ball or drain / solid hypoallergenic not less than 50 g (24 hours)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Laundry soap bar 72%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 laundry soap 72%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bar, 200 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</w:tr>
      <w:tr w:rsidR="00C42149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Set of 3 leaflets with GBV-related information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A5 two-fold leaflet (148х210 mm) – a sheet folded directly in half.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Coated paper, density 150 g/m2, double-sided printing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Final design will be provided by our comms colleagues.</w:t>
            </w:r>
          </w:p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Set of 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</w:tr>
    </w:tbl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If you are interested in submitting a quotation for these items, kindly fill in the attached Quotation Form and send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</w:rPr>
        <w:t>by email to the address indicated below:</w:t>
      </w: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42149">
        <w:tc>
          <w:tcPr>
            <w:tcW w:w="4788" w:type="dxa"/>
          </w:tcPr>
          <w:p w:rsidR="00C42149" w:rsidRDefault="004656B5">
            <w:pPr>
              <w:spacing w:after="6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4788" w:type="dxa"/>
          </w:tcPr>
          <w:p w:rsidR="00C42149" w:rsidRDefault="004656B5">
            <w:pPr>
              <w:spacing w:after="6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Iryna Bohun</w:t>
            </w:r>
          </w:p>
        </w:tc>
      </w:tr>
      <w:tr w:rsidR="00C42149">
        <w:tc>
          <w:tcPr>
            <w:tcW w:w="4788" w:type="dxa"/>
          </w:tcPr>
          <w:p w:rsidR="00C42149" w:rsidRDefault="004656B5">
            <w:pPr>
              <w:spacing w:after="6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</w:t>
            </w:r>
          </w:p>
        </w:tc>
        <w:tc>
          <w:tcPr>
            <w:tcW w:w="4788" w:type="dxa"/>
          </w:tcPr>
          <w:p w:rsidR="00C42149" w:rsidRDefault="004656B5">
            <w:pPr>
              <w:spacing w:after="6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ua-procurement@unfpa.org</w:t>
            </w:r>
          </w:p>
        </w:tc>
      </w:tr>
    </w:tbl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submit your quotati</w:t>
      </w:r>
      <w:r>
        <w:rPr>
          <w:rFonts w:ascii="Times New Roman" w:eastAsia="Times New Roman" w:hAnsi="Times New Roman" w:cs="Times New Roman"/>
        </w:rPr>
        <w:t xml:space="preserve">on in UAH currency. Conversion of </w:t>
      </w:r>
      <w:r>
        <w:rPr>
          <w:rFonts w:ascii="Times New Roman" w:eastAsia="Times New Roman" w:hAnsi="Times New Roman" w:cs="Times New Roman"/>
        </w:rPr>
        <w:t>money</w:t>
      </w:r>
      <w:r>
        <w:rPr>
          <w:rFonts w:ascii="Times New Roman" w:eastAsia="Times New Roman" w:hAnsi="Times New Roman" w:cs="Times New Roman"/>
        </w:rPr>
        <w:t xml:space="preserve"> into the UNFPA preferred currency, if the offer is quoted differently from what is required, shall be based only on UN Operational Exchange Rate prevailing at the time of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competition deadline. </w:t>
      </w: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earliest res</w:t>
      </w:r>
      <w:r>
        <w:rPr>
          <w:rFonts w:ascii="Times New Roman" w:eastAsia="Times New Roman" w:hAnsi="Times New Roman" w:cs="Times New Roman"/>
        </w:rPr>
        <w:t xml:space="preserve">ponse to this query would be highly appreciated, but not later than </w:t>
      </w:r>
      <w:r>
        <w:rPr>
          <w:rFonts w:ascii="Times New Roman" w:eastAsia="Times New Roman" w:hAnsi="Times New Roman" w:cs="Times New Roman"/>
          <w:b/>
          <w:u w:val="single"/>
        </w:rPr>
        <w:t xml:space="preserve">18th </w:t>
      </w:r>
      <w:bookmarkStart w:id="0" w:name="_GoBack"/>
      <w:r>
        <w:rPr>
          <w:rFonts w:ascii="Times New Roman" w:eastAsia="Times New Roman" w:hAnsi="Times New Roman" w:cs="Times New Roman"/>
          <w:b/>
          <w:u w:val="single"/>
        </w:rPr>
        <w:t>July</w:t>
      </w:r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2023</w:t>
      </w:r>
      <w:r>
        <w:rPr>
          <w:rFonts w:ascii="Times New Roman" w:eastAsia="Times New Roman" w:hAnsi="Times New Roman" w:cs="Times New Roman"/>
          <w:b/>
          <w:u w:val="single"/>
        </w:rPr>
        <w:t>,</w:t>
      </w:r>
      <w:r>
        <w:rPr>
          <w:rFonts w:ascii="Times New Roman" w:eastAsia="Times New Roman" w:hAnsi="Times New Roman" w:cs="Times New Roman"/>
          <w:b/>
          <w:u w:val="single"/>
        </w:rPr>
        <w:t xml:space="preserve"> 17</w:t>
      </w:r>
      <w:r>
        <w:rPr>
          <w:rFonts w:ascii="Times New Roman" w:eastAsia="Times New Roman" w:hAnsi="Times New Roman" w:cs="Times New Roman"/>
          <w:b/>
          <w:u w:val="single"/>
        </w:rPr>
        <w:t>:00 Kyiv time</w:t>
      </w:r>
      <w:r>
        <w:rPr>
          <w:rFonts w:ascii="Times New Roman" w:eastAsia="Times New Roman" w:hAnsi="Times New Roman" w:cs="Times New Roman"/>
        </w:rPr>
        <w:t>.</w:t>
      </w: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Current UNFPA supplier policies apply to this solicitation and can be found at:</w:t>
      </w:r>
      <w:r>
        <w:t>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http://www.unfpa.or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g/suppliers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regards,</w:t>
      </w: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Anastasiia Baibuzenko</w:t>
      </w: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Procurement and Logistics Associate</w:t>
      </w:r>
    </w:p>
    <w:p w:rsidR="00C42149" w:rsidRDefault="004656B5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baibuzenko@unfpa.org</w:t>
      </w: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C42149" w:rsidP="00650312">
      <w:pPr>
        <w:spacing w:after="6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650312" w:rsidRDefault="00650312" w:rsidP="00650312">
      <w:pPr>
        <w:spacing w:after="6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650312" w:rsidRDefault="00650312" w:rsidP="00650312">
      <w:pPr>
        <w:spacing w:after="6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:rsidR="00C42149" w:rsidRDefault="00C42149">
      <w:pPr>
        <w:spacing w:after="6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42149" w:rsidRDefault="004656B5">
      <w:pPr>
        <w:spacing w:after="60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Quotation Form</w:t>
      </w:r>
    </w:p>
    <w:p w:rsidR="00C42149" w:rsidRDefault="00C42149">
      <w:pPr>
        <w:spacing w:after="60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 of Bidder: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Bid: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Request for Quotation No: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UNFPA/UKR/RFQ/2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Currency of Bid price: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UAH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Delivery time </w:t>
      </w:r>
      <w:r>
        <w:rPr>
          <w:rFonts w:ascii="Times New Roman" w:eastAsia="Times New Roman" w:hAnsi="Times New Roman" w:cs="Times New Roman"/>
          <w:i/>
        </w:rPr>
        <w:t>(weeks from receipt of order till dispatch):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</w:rPr>
        <w:t>up to 1st September 2023.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Expiration of Validity of Quotation</w:t>
      </w:r>
      <w:r>
        <w:rPr>
          <w:rFonts w:ascii="Times New Roman" w:eastAsia="Times New Roman" w:hAnsi="Times New Roman" w:cs="Times New Roman"/>
          <w:i/>
        </w:rPr>
        <w:t xml:space="preserve"> (The quotation shall be 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valid for a period of at least 3 months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after the Closing date.):</w:t>
      </w:r>
      <w:r>
        <w:rPr>
          <w:rFonts w:ascii="Times New Roman" w:eastAsia="Times New Roman" w:hAnsi="Times New Roman" w:cs="Times New Roman"/>
          <w:b/>
          <w:u w:val="single"/>
        </w:rPr>
        <w:t xml:space="preserve">    3 months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Price Schedule:</w:t>
      </w:r>
    </w:p>
    <w:p w:rsidR="00C42149" w:rsidRDefault="004656B5">
      <w:pPr>
        <w:spacing w:line="240" w:lineRule="auto"/>
        <w:ind w:left="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Maximum budget  155400 USD</w:t>
      </w:r>
    </w:p>
    <w:tbl>
      <w:tblPr>
        <w:tblStyle w:val="a5"/>
        <w:tblW w:w="1003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860"/>
        <w:gridCol w:w="2685"/>
        <w:gridCol w:w="1185"/>
        <w:gridCol w:w="945"/>
        <w:gridCol w:w="1560"/>
        <w:gridCol w:w="1410"/>
      </w:tblGrid>
      <w:tr w:rsidR="00C42149">
        <w:trPr>
          <w:trHeight w:val="30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Specification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Q-ty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DAP Unit price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636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Female Underwear (panty) - Size small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Underwear for Women High Waisted Stretchy Cotton Panties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3 pcs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500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 Underwear (panty) - Size medium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Underwear for Women High Waisted Stretchy Cotton Panties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3 pcs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1000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Female Underwear (panty) - Size large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Underwear for Women High Waisted Stretchy Cotton Panties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3 pcs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1000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Women's thermal underwear -Size small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Pieces- Top and Bottom are included. Size small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(top + bottom)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500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Women's thermal underwear- Size medium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Pieces- Top and Bottom are included. Size medium</w:t>
            </w:r>
          </w:p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(top + bottom)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Women's thermal underwear - Size large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Pieces- Top and Bottom are included. Size large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(top + bottom)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Socks one size (33-38)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Cotton socks size 33-38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Packs containing 5 pcs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500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Socks one size (39-42)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Cotton socks size 39-42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Packs containing 5 pcs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Menstrual pads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Menstrual pads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of 2 pcs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Intimate hygiene wipes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 wipes not less than 15 pieces in the package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Package 15 pcs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Body wipes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 wipes not less than 80 pieces in the package, size not less than, 20 x 12 cm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wipes in each set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00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sanitizers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least 120 ml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Bottle 120 ml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97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Bath towels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Towel 50x90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 100% cotton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 / m² 400 g / m².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Backpack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Lightweight city backpack. 1 compartment with a partition, e.g. for a laptop, and a front pocket. Branded with UNFPA logo printed or sewn on.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 fleece blanket, medium-sized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Dimensions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Width: 130 cm, Length: 170 cm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Composition: 100% polyester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Torch / flashlight (self-powered)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 to medium sized handheld torch with LED bulbs of minimum 50 lumens.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Bath soap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Without dyes and perfume composition, does not dry the skin, does not cause irritation. Designed for children and adults with sensitive skin.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 100 g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Toothpaste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Toothpaste not less than 100 gr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Tube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Toothbrush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Medium stiffness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Hairbrush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Shampoo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Universal for all hair types at least 200 ml 3 in one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 Cream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hygienic skin care of medical staff at least 60 ml; 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Simply moisturizing and restorative.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Deodorant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Ball or drain / solid hypoallergenic not less than 50 g (24 hours)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Laundry soap bar 72%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 laundry soap 72%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bar, 200 g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2500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149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Set of 3 leaflets with GBV-related information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A5 two-fold leaflet (148х210 mm) – a sheet folded directly in half.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Coated paper, density 150 g/m2, double-sided printing</w:t>
            </w:r>
          </w:p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F1F1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highlight w:val="white"/>
              </w:rPr>
              <w:t>Final design will be provided by our comms colleagues.</w:t>
            </w:r>
          </w:p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Set of 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4656B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2149" w:rsidRDefault="00C4214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149" w:rsidRDefault="004656B5">
      <w:pPr>
        <w:spacing w:line="240" w:lineRule="auto"/>
        <w:ind w:left="0" w:right="-63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*Packaging requirements:</w:t>
      </w:r>
    </w:p>
    <w:p w:rsidR="00C42149" w:rsidRDefault="004656B5">
      <w:pPr>
        <w:spacing w:line="240" w:lineRule="auto"/>
        <w:ind w:left="0" w:right="-63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Each kit has to be packed in a backpack or big handbag and marked with UNFPA and UHF logos on it (please, find both logos attached).</w:t>
      </w:r>
    </w:p>
    <w:p w:rsidR="00C42149" w:rsidRDefault="004656B5">
      <w:pPr>
        <w:spacing w:line="240" w:lineRule="auto"/>
        <w:ind w:left="0" w:right="-63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Logos must be in color, have the same height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must be fully visible. </w:t>
      </w:r>
    </w:p>
    <w:p w:rsidR="00C42149" w:rsidRDefault="004656B5">
      <w:pPr>
        <w:spacing w:line="240" w:lineRule="auto"/>
        <w:ind w:left="0" w:right="-63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Method of applying: printing on adhesive paper wi</w:t>
      </w:r>
      <w:r>
        <w:rPr>
          <w:rFonts w:ascii="Times New Roman" w:eastAsia="Times New Roman" w:hAnsi="Times New Roman" w:cs="Times New Roman"/>
        </w:rPr>
        <w:t>th subsequent placement on each box.</w:t>
      </w:r>
    </w:p>
    <w:p w:rsidR="00C42149" w:rsidRDefault="004656B5">
      <w:pPr>
        <w:spacing w:line="240" w:lineRule="auto"/>
        <w:ind w:left="0" w:right="-63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logos should be glued on the outside edge of the box so that they will be outward when packed in a pallet. Logos must be affixed neatly and parallel to the lower edge of the box.</w:t>
      </w:r>
    </w:p>
    <w:p w:rsidR="00C42149" w:rsidRDefault="004656B5">
      <w:pPr>
        <w:spacing w:line="240" w:lineRule="auto"/>
        <w:ind w:left="0" w:right="-63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Approving the placement of logos on </w:t>
      </w:r>
      <w:r>
        <w:rPr>
          <w:rFonts w:ascii="Times New Roman" w:eastAsia="Times New Roman" w:hAnsi="Times New Roman" w:cs="Times New Roman"/>
        </w:rPr>
        <w:t xml:space="preserve">the box is mandatory for the supplier that will be selected based on the result of this tender. </w:t>
      </w:r>
      <w:r>
        <w:rPr>
          <w:rFonts w:ascii="Times New Roman" w:eastAsia="Times New Roman" w:hAnsi="Times New Roman" w:cs="Times New Roman"/>
        </w:rPr>
        <w:t>The selected</w:t>
      </w:r>
      <w:r>
        <w:rPr>
          <w:rFonts w:ascii="Times New Roman" w:eastAsia="Times New Roman" w:hAnsi="Times New Roman" w:cs="Times New Roman"/>
        </w:rPr>
        <w:t xml:space="preserve"> supplier will be requested to prepare 1 box with logos, take a photo and send it to the UNFPA communications specialist by e-mail for approval. Onl</w:t>
      </w:r>
      <w:r>
        <w:rPr>
          <w:rFonts w:ascii="Times New Roman" w:eastAsia="Times New Roman" w:hAnsi="Times New Roman" w:cs="Times New Roman"/>
        </w:rPr>
        <w:t>y upon receipt of approval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it will be possible to brand all other boxes.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 your offer, please include: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Specific technical specifications of products offered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Delivery time</w:t>
      </w:r>
    </w:p>
    <w:p w:rsidR="00C42149" w:rsidRDefault="004656B5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Quality standard of the products</w:t>
      </w:r>
    </w:p>
    <w:p w:rsidR="00C42149" w:rsidRDefault="004656B5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62650" cy="542290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149" w:rsidRDefault="004656B5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Vendor’s Comments:</w:t>
                            </w:r>
                          </w:p>
                          <w:p w:rsidR="00C42149" w:rsidRDefault="00C4214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62650" cy="54229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542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2149" w:rsidRDefault="00C42149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</w:p>
    <w:p w:rsidR="00C42149" w:rsidRDefault="004656B5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 hereby certify that this company, which I am duly authorized to sign for, accepts the terms and conditions of UNFPA (</w:t>
      </w:r>
      <w:hyperlink r:id="rId9">
        <w:r>
          <w:rPr>
            <w:color w:val="0000FF"/>
            <w:sz w:val="24"/>
            <w:szCs w:val="24"/>
            <w:u w:val="single"/>
          </w:rPr>
          <w:t>http://www.unfpa.org/resources/unfpa-general-conditio</w:t>
        </w:r>
        <w:r>
          <w:rPr>
            <w:color w:val="0000FF"/>
            <w:sz w:val="24"/>
            <w:szCs w:val="24"/>
            <w:u w:val="single"/>
          </w:rPr>
          <w:t>ns-contract</w:t>
        </w:r>
      </w:hyperlink>
      <w:r>
        <w:rPr>
          <w:rFonts w:ascii="Times New Roman" w:eastAsia="Times New Roman" w:hAnsi="Times New Roman" w:cs="Times New Roman"/>
          <w:b/>
        </w:rPr>
        <w:t xml:space="preserve"> ) and we will abide by this quotation until it expires. </w:t>
      </w:r>
    </w:p>
    <w:p w:rsidR="00C42149" w:rsidRDefault="004656B5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C42149" w:rsidRDefault="004656B5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Name and title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 and Place</w:t>
      </w:r>
    </w:p>
    <w:sectPr w:rsidR="00C42149">
      <w:headerReference w:type="default" r:id="rId10"/>
      <w:footerReference w:type="default" r:id="rId11"/>
      <w:pgSz w:w="12240" w:h="15840"/>
      <w:pgMar w:top="851" w:right="1440" w:bottom="993" w:left="1440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B5" w:rsidRDefault="004656B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656B5" w:rsidRDefault="004656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Robot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49" w:rsidRDefault="004656B5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365F91"/>
      </w:rPr>
    </w:pPr>
    <w:r>
      <w:rPr>
        <w:color w:val="7F7F7F"/>
      </w:rPr>
      <w:t xml:space="preserve">Page </w:t>
    </w:r>
    <w:r>
      <w:rPr>
        <w:b/>
        <w:color w:val="7F7F7F"/>
      </w:rPr>
      <w:fldChar w:fldCharType="begin"/>
    </w:r>
    <w:r>
      <w:rPr>
        <w:b/>
        <w:color w:val="7F7F7F"/>
      </w:rPr>
      <w:instrText>PAGE</w:instrText>
    </w:r>
    <w:r w:rsidR="00650312">
      <w:rPr>
        <w:b/>
        <w:color w:val="7F7F7F"/>
      </w:rPr>
      <w:fldChar w:fldCharType="separate"/>
    </w:r>
    <w:r w:rsidR="00650312">
      <w:rPr>
        <w:b/>
        <w:noProof/>
        <w:color w:val="7F7F7F"/>
      </w:rPr>
      <w:t>1</w:t>
    </w:r>
    <w:r>
      <w:rPr>
        <w:b/>
        <w:color w:val="7F7F7F"/>
      </w:rPr>
      <w:fldChar w:fldCharType="end"/>
    </w:r>
    <w:r>
      <w:rPr>
        <w:color w:val="7F7F7F"/>
      </w:rPr>
      <w:t xml:space="preserve"> of </w:t>
    </w:r>
    <w:r>
      <w:rPr>
        <w:b/>
        <w:color w:val="7F7F7F"/>
      </w:rPr>
      <w:fldChar w:fldCharType="begin"/>
    </w:r>
    <w:r>
      <w:rPr>
        <w:b/>
        <w:color w:val="7F7F7F"/>
      </w:rPr>
      <w:instrText>NUMPAGES</w:instrText>
    </w:r>
    <w:r w:rsidR="00650312">
      <w:rPr>
        <w:b/>
        <w:color w:val="7F7F7F"/>
      </w:rPr>
      <w:fldChar w:fldCharType="separate"/>
    </w:r>
    <w:r w:rsidR="00650312">
      <w:rPr>
        <w:b/>
        <w:noProof/>
        <w:color w:val="7F7F7F"/>
      </w:rPr>
      <w:t>7</w:t>
    </w:r>
    <w:r>
      <w:rPr>
        <w:b/>
        <w:color w:val="7F7F7F"/>
      </w:rPr>
      <w:fldChar w:fldCharType="end"/>
    </w:r>
  </w:p>
  <w:p w:rsidR="00C42149" w:rsidRDefault="004656B5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548DD4"/>
      </w:rPr>
      <w:t>UNFPA/PSB/Templates/Emergency Procurement/ Emergency RFQ Template Below 250.000 USD [0315-Rev02]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B5" w:rsidRDefault="004656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656B5" w:rsidRDefault="004656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49" w:rsidRDefault="00C4214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sz w:val="24"/>
        <w:szCs w:val="24"/>
        <w:u w:val="single"/>
      </w:rPr>
    </w:pPr>
  </w:p>
  <w:tbl>
    <w:tblPr>
      <w:tblStyle w:val="a6"/>
      <w:tblW w:w="999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95"/>
      <w:gridCol w:w="4995"/>
    </w:tblGrid>
    <w:tr w:rsidR="00C42149">
      <w:trPr>
        <w:trHeight w:val="1142"/>
      </w:trPr>
      <w:tc>
        <w:tcPr>
          <w:tcW w:w="4995" w:type="dxa"/>
        </w:tcPr>
        <w:p w:rsidR="00C42149" w:rsidRDefault="0046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0" w:hanging="2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  <w:lang w:bidi="ar-SA"/>
            </w:rPr>
            <w:drawing>
              <wp:inline distT="0" distB="0" distL="114300" distR="114300">
                <wp:extent cx="972185" cy="456565"/>
                <wp:effectExtent l="0" t="0" r="0" b="0"/>
                <wp:docPr id="1029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456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:rsidR="00C42149" w:rsidRDefault="0046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United Nations Population Fund</w:t>
          </w:r>
        </w:p>
        <w:p w:rsidR="00C42149" w:rsidRDefault="0046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 Ukraine</w:t>
          </w:r>
        </w:p>
        <w:p w:rsidR="00C42149" w:rsidRDefault="0046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ukraine.office@unfpa.org</w:t>
          </w:r>
        </w:p>
        <w:p w:rsidR="00C42149" w:rsidRDefault="0046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ind w:left="0" w:hanging="2"/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Website: www.unfpa.org.ua</w:t>
          </w:r>
        </w:p>
      </w:tc>
    </w:tr>
  </w:tbl>
  <w:p w:rsidR="00C42149" w:rsidRDefault="00C4214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9"/>
    <w:rsid w:val="004656B5"/>
    <w:rsid w:val="00650312"/>
    <w:rsid w:val="00C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40DD4-0955-4F91-A4DE-D2DEB4A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spacing w:before="480" w:after="0"/>
      <w:contextualSpacing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FPAAddress">
    <w:name w:val="UNFPA Address"/>
    <w:basedOn w:val="Footer"/>
    <w:next w:val="Footer"/>
    <w:pPr>
      <w:tabs>
        <w:tab w:val="center" w:pos="4320"/>
        <w:tab w:val="right" w:pos="8640"/>
      </w:tabs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fpa.org/suppli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4oV5WK7Hc8ASEQVML9LC2t/d/w==">CgMxLjA4AHIhMTVzdjJvNGJYQ19LZTBRTllaRUYxUklkNVROdHQyRW1r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7829</Characters>
  <Application>Microsoft Office Word</Application>
  <DocSecurity>0</DocSecurity>
  <Lines>711</Lines>
  <Paragraphs>450</Paragraphs>
  <ScaleCrop>false</ScaleCrop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IT</cp:lastModifiedBy>
  <cp:revision>2</cp:revision>
  <dcterms:created xsi:type="dcterms:W3CDTF">2022-09-14T14:18:00Z</dcterms:created>
  <dcterms:modified xsi:type="dcterms:W3CDTF">2023-06-29T09:57:00Z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FPA_NextRevisionCycle">
    <vt:lpwstr>Update as needed</vt:lpwstr>
  </property>
  <property fmtid="{D5CDD505-2E9C-101B-9397-08002B2CF9AE}" pid="3" name="UPFPA_Language">
    <vt:lpwstr>6;#English|516f81f3-df0e-464d-825f-d58835f0e5c7</vt:lpwstr>
  </property>
  <property fmtid="{D5CDD505-2E9C-101B-9397-08002B2CF9AE}" pid="4" name="ge06872a504f4acca5c9cc570571a383">
    <vt:lpwstr>Template|88a86ba0-78ce-4642-9c94-ba93c8025277</vt:lpwstr>
  </property>
  <property fmtid="{D5CDD505-2E9C-101B-9397-08002B2CF9AE}" pid="5" name="UNFPA_Responsible">
    <vt:lpwstr>22</vt:lpwstr>
  </property>
  <property fmtid="{D5CDD505-2E9C-101B-9397-08002B2CF9AE}" pid="6" name="display_urn:schemas-microsoft-com:office:office#UNFPA_Responsible">
    <vt:lpwstr>Daniela Andries</vt:lpwstr>
  </property>
  <property fmtid="{D5CDD505-2E9C-101B-9397-08002B2CF9AE}" pid="7" name="Delegated to">
    <vt:lpwstr/>
  </property>
  <property fmtid="{D5CDD505-2E9C-101B-9397-08002B2CF9AE}" pid="8" name="k64d3d405fbe456db5cf2d4cdca728c7">
    <vt:lpwstr>English|516f81f3-df0e-464d-825f-d58835f0e5c7</vt:lpwstr>
  </property>
  <property fmtid="{D5CDD505-2E9C-101B-9397-08002B2CF9AE}" pid="9" name="UNFPA_DocumentType">
    <vt:lpwstr>7;#Template|88a86ba0-78ce-4642-9c94-ba93c8025277</vt:lpwstr>
  </property>
  <property fmtid="{D5CDD505-2E9C-101B-9397-08002B2CF9AE}" pid="10" name="TaxCatchAll">
    <vt:lpwstr>7;#Template|88a86ba0-78ce-4642-9c94-ba93c8025277;#6;#English|516f81f3-df0e-464d-825f-d58835f0e5c7</vt:lpwstr>
  </property>
  <property fmtid="{D5CDD505-2E9C-101B-9397-08002B2CF9AE}" pid="11" name="References">
    <vt:lpwstr>;#myUNFPA-PSB;#</vt:lpwstr>
  </property>
  <property fmtid="{D5CDD505-2E9C-101B-9397-08002B2CF9AE}" pid="12" name="UNFPA_NextRevisionDate">
    <vt:lpwstr/>
  </property>
  <property fmtid="{D5CDD505-2E9C-101B-9397-08002B2CF9AE}" pid="13" name="GrammarlyDocumentId">
    <vt:lpwstr>ec95afab3768ec0052af5537aa3444bb52eefb4efa35d57ee71ab9a2f3430d4f</vt:lpwstr>
  </property>
</Properties>
</file>