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06" w:rsidRDefault="00477D06">
      <w:pPr>
        <w:tabs>
          <w:tab w:val="left" w:pos="5400"/>
        </w:tabs>
        <w:jc w:val="right"/>
      </w:pPr>
    </w:p>
    <w:p w:rsidR="00477D06" w:rsidRDefault="00A372AF">
      <w:pPr>
        <w:tabs>
          <w:tab w:val="left" w:pos="5400"/>
        </w:tabs>
        <w:spacing w:after="0" w:line="240" w:lineRule="auto"/>
        <w:jc w:val="right"/>
      </w:pPr>
      <w:bookmarkStart w:id="0" w:name="_heading=h.gjdgxs" w:colFirst="0" w:colLast="0"/>
      <w:bookmarkEnd w:id="0"/>
      <w:r>
        <w:t xml:space="preserve">Дата:  </w:t>
      </w:r>
      <w:r w:rsidR="005D60BE" w:rsidRPr="00866F3B">
        <w:rPr>
          <w:lang w:val="ru-RU"/>
        </w:rPr>
        <w:t>14</w:t>
      </w:r>
      <w:r>
        <w:t xml:space="preserve"> червня 2022</w:t>
      </w:r>
    </w:p>
    <w:p w:rsidR="00477D06" w:rsidRDefault="00477D06">
      <w:pPr>
        <w:tabs>
          <w:tab w:val="left" w:pos="-180"/>
          <w:tab w:val="right" w:pos="1980"/>
          <w:tab w:val="left" w:pos="2160"/>
          <w:tab w:val="left" w:pos="4320"/>
        </w:tabs>
        <w:spacing w:after="0" w:line="240" w:lineRule="auto"/>
      </w:pPr>
    </w:p>
    <w:p w:rsidR="00477D06" w:rsidRDefault="00477D06">
      <w:pPr>
        <w:tabs>
          <w:tab w:val="left" w:pos="-180"/>
          <w:tab w:val="right" w:pos="1980"/>
          <w:tab w:val="left" w:pos="2160"/>
          <w:tab w:val="left" w:pos="4320"/>
        </w:tabs>
        <w:spacing w:after="0" w:line="240" w:lineRule="auto"/>
        <w:rPr>
          <w:b/>
        </w:rPr>
      </w:pPr>
    </w:p>
    <w:p w:rsidR="00477D06" w:rsidRDefault="00A372AF">
      <w:pPr>
        <w:tabs>
          <w:tab w:val="left" w:pos="-180"/>
          <w:tab w:val="right" w:pos="1980"/>
          <w:tab w:val="left" w:pos="2160"/>
          <w:tab w:val="left" w:pos="4320"/>
        </w:tabs>
        <w:rPr>
          <w:b/>
        </w:rPr>
      </w:pPr>
      <w:r>
        <w:rPr>
          <w:b/>
        </w:rPr>
        <w:t>Затверджено:</w:t>
      </w:r>
    </w:p>
    <w:p w:rsidR="00477D06" w:rsidRDefault="00A372AF">
      <w:pPr>
        <w:tabs>
          <w:tab w:val="left" w:pos="-180"/>
          <w:tab w:val="right" w:pos="1980"/>
          <w:tab w:val="left" w:pos="2160"/>
          <w:tab w:val="left" w:pos="4320"/>
        </w:tabs>
        <w:rPr>
          <w:b/>
        </w:rPr>
      </w:pPr>
      <w:r>
        <w:rPr>
          <w:b/>
        </w:rPr>
        <w:t>п. Хайме Надаль</w:t>
      </w:r>
    </w:p>
    <w:p w:rsidR="00477D06" w:rsidRDefault="00A372AF">
      <w:pPr>
        <w:tabs>
          <w:tab w:val="left" w:pos="-180"/>
          <w:tab w:val="right" w:pos="1980"/>
          <w:tab w:val="left" w:pos="2160"/>
          <w:tab w:val="left" w:pos="4320"/>
        </w:tabs>
        <w:rPr>
          <w:b/>
        </w:rPr>
      </w:pPr>
      <w:r>
        <w:rPr>
          <w:b/>
        </w:rPr>
        <w:t>Представник Фонду ООН у галузі народонаселення</w:t>
      </w:r>
    </w:p>
    <w:p w:rsidR="00477D06" w:rsidRDefault="00477D06">
      <w:pPr>
        <w:tabs>
          <w:tab w:val="right" w:pos="1980"/>
          <w:tab w:val="left" w:pos="2160"/>
          <w:tab w:val="left" w:pos="4320"/>
          <w:tab w:val="left" w:pos="-180"/>
        </w:tabs>
        <w:spacing w:after="0" w:line="240" w:lineRule="auto"/>
      </w:pPr>
    </w:p>
    <w:p w:rsidR="00477D06" w:rsidRDefault="00477D06">
      <w:pPr>
        <w:spacing w:after="0" w:line="240" w:lineRule="auto"/>
        <w:jc w:val="center"/>
        <w:rPr>
          <w:b/>
        </w:rPr>
      </w:pPr>
    </w:p>
    <w:p w:rsidR="00477D06" w:rsidRDefault="00A372AF">
      <w:pPr>
        <w:spacing w:after="0" w:line="240" w:lineRule="auto"/>
        <w:jc w:val="center"/>
        <w:rPr>
          <w:b/>
        </w:rPr>
      </w:pPr>
      <w:r>
        <w:rPr>
          <w:b/>
        </w:rPr>
        <w:t xml:space="preserve">ЗАПИТ НА ПОДАННЯ ПРОПОЗИЦІЙ </w:t>
      </w:r>
    </w:p>
    <w:p w:rsidR="00477D06" w:rsidRDefault="00A372AF">
      <w:pPr>
        <w:spacing w:after="0" w:line="240" w:lineRule="auto"/>
        <w:jc w:val="center"/>
        <w:rPr>
          <w:b/>
        </w:rPr>
      </w:pPr>
      <w:r>
        <w:rPr>
          <w:b/>
        </w:rPr>
        <w:t>RFQ Nº UNFPA/UKR/RFQ/22/15</w:t>
      </w:r>
    </w:p>
    <w:p w:rsidR="00477D06" w:rsidRDefault="00477D06">
      <w:pPr>
        <w:spacing w:after="0" w:line="240" w:lineRule="auto"/>
        <w:jc w:val="center"/>
        <w:rPr>
          <w:b/>
        </w:rPr>
      </w:pPr>
    </w:p>
    <w:p w:rsidR="00477D06" w:rsidRDefault="00477D06">
      <w:pPr>
        <w:spacing w:after="0" w:line="240" w:lineRule="auto"/>
        <w:jc w:val="center"/>
      </w:pPr>
    </w:p>
    <w:p w:rsidR="00477D06" w:rsidRDefault="00A372A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rsidR="00477D06" w:rsidRDefault="00477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rsidR="00477D06" w:rsidRDefault="00A372AF">
      <w:pPr>
        <w:spacing w:after="0" w:line="240" w:lineRule="auto"/>
        <w:jc w:val="both"/>
      </w:pPr>
      <w:r>
        <w:t>Фонд ООН у галузі народонаселення запрошує Вас надати цінову пропозицію на наступні послуги:</w:t>
      </w:r>
    </w:p>
    <w:p w:rsidR="00477D06" w:rsidRDefault="00477D06">
      <w:pPr>
        <w:spacing w:after="0" w:line="240" w:lineRule="auto"/>
        <w:jc w:val="both"/>
      </w:pPr>
    </w:p>
    <w:p w:rsidR="00477D06" w:rsidRDefault="00A372AF">
      <w:pPr>
        <w:spacing w:after="0"/>
        <w:jc w:val="center"/>
        <w:rPr>
          <w:b/>
        </w:rPr>
      </w:pPr>
      <w:bookmarkStart w:id="1" w:name="_GoBack"/>
      <w:r>
        <w:rPr>
          <w:b/>
        </w:rPr>
        <w:t>Розробка та реалізація освітньої програми з блогерства (резиденція та о</w:t>
      </w:r>
      <w:r w:rsidR="00866F3B">
        <w:rPr>
          <w:b/>
        </w:rPr>
        <w:t>нлайновий відеокурс) для молоді</w:t>
      </w:r>
    </w:p>
    <w:p w:rsidR="00477D06" w:rsidRDefault="00477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477D06" w:rsidRDefault="00A372A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на подання пропозицій відкритий для всіх офіційно створених компаній, які можуть надавати необхідні послуги та мають правоздатність на проведення діяльності в Україні або через уповноважене представництво.</w:t>
      </w:r>
    </w:p>
    <w:p w:rsidR="00477D06" w:rsidRDefault="00477D06">
      <w:pPr>
        <w:tabs>
          <w:tab w:val="right" w:pos="1980"/>
          <w:tab w:val="left" w:pos="2160"/>
          <w:tab w:val="left" w:pos="4320"/>
          <w:tab w:val="left" w:pos="-180"/>
        </w:tabs>
        <w:spacing w:after="0" w:line="240" w:lineRule="auto"/>
        <w:rPr>
          <w:b/>
        </w:rPr>
      </w:pPr>
    </w:p>
    <w:p w:rsidR="00477D06" w:rsidRDefault="00A372AF">
      <w:pPr>
        <w:spacing w:after="0" w:line="240" w:lineRule="auto"/>
        <w:jc w:val="both"/>
        <w:rPr>
          <w:b/>
        </w:rPr>
      </w:pPr>
      <w:r>
        <w:rPr>
          <w:b/>
        </w:rPr>
        <w:t>І. Про UNFPA</w:t>
      </w:r>
    </w:p>
    <w:p w:rsidR="00477D06" w:rsidRDefault="00477D06">
      <w:pPr>
        <w:spacing w:after="0" w:line="240" w:lineRule="auto"/>
        <w:ind w:left="360"/>
        <w:jc w:val="both"/>
        <w:rPr>
          <w:b/>
        </w:rPr>
      </w:pPr>
    </w:p>
    <w:p w:rsidR="00477D06" w:rsidRDefault="00A372A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 xml:space="preserve">UNFPA, Фонд ООН у галузі народонаселення,  є міжнародною агенцію з розвитку, метою котрої є забезпечення існування такого світу, в якому кожна вагітність бажана, кожні пологи безпечні та кожна молода людина може реалізувати свій потенціал.   </w:t>
      </w:r>
    </w:p>
    <w:p w:rsidR="00477D06" w:rsidRDefault="00A372A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about us</w:t>
        </w:r>
      </w:hyperlink>
      <w:r>
        <w:rPr>
          <w:color w:val="0070C0"/>
          <w:u w:val="single"/>
        </w:rPr>
        <w:t>.</w:t>
      </w:r>
    </w:p>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77D06" w:rsidRDefault="00A372AF">
      <w:pPr>
        <w:spacing w:after="0" w:line="240" w:lineRule="auto"/>
        <w:ind w:firstLine="720"/>
        <w:rPr>
          <w:b/>
        </w:rPr>
      </w:pPr>
      <w:r>
        <w:rPr>
          <w:b/>
        </w:rPr>
        <w:t>Технічне завдання (ТЗ)</w:t>
      </w:r>
    </w:p>
    <w:p w:rsidR="00477D06" w:rsidRDefault="00477D06">
      <w:pPr>
        <w:spacing w:after="0" w:line="240" w:lineRule="auto"/>
        <w:ind w:firstLine="720"/>
        <w:rPr>
          <w:b/>
        </w:rPr>
      </w:pPr>
    </w:p>
    <w:p w:rsidR="00477D06" w:rsidRDefault="00A372AF">
      <w:pPr>
        <w:spacing w:after="0" w:line="240" w:lineRule="auto"/>
        <w:ind w:firstLine="720"/>
        <w:jc w:val="both"/>
        <w:rPr>
          <w:b/>
        </w:rPr>
      </w:pPr>
      <w:r>
        <w:rPr>
          <w:b/>
        </w:rPr>
        <w:t>Передумови та опис програми</w:t>
      </w:r>
    </w:p>
    <w:p w:rsidR="00477D06" w:rsidRDefault="00477D06">
      <w:pPr>
        <w:spacing w:after="0" w:line="240" w:lineRule="auto"/>
        <w:ind w:firstLine="720"/>
        <w:jc w:val="both"/>
        <w:rPr>
          <w:b/>
        </w:rPr>
      </w:pPr>
    </w:p>
    <w:p w:rsidR="00477D06" w:rsidRDefault="00A372AF">
      <w:pPr>
        <w:shd w:val="clear" w:color="auto" w:fill="FFFFFF"/>
        <w:spacing w:after="0" w:line="288" w:lineRule="auto"/>
        <w:ind w:firstLine="720"/>
        <w:jc w:val="both"/>
      </w:pPr>
      <w:r>
        <w:t>Питання розвитку гібридних медіа на сьогодні піднімається досить активно – вони сприяють відкритим дискусіям, активному залученню та громадянській активності. Щодня перед молодими людьми постають проблеми, які мають міжгалузевий характер і стосуються всього політичного порядку денного. Вони повинні мати можливість брати на себе відповідальність, мати право голосу та можливості для висловлювання на різні теми, розповідаючи світові про ті проблеми, що їх найбільше хвилюють; демонструвати іншим, що вони не самі, а найважливіше – надихати на діяльність, яка спрямована на формування стійкості, згуртованості, інклюзивності, процвітання, справедливості та сталості в суспільстві, особливо в контексті різних кризових ситуацій у часи нестабільності та небезпеки.</w:t>
      </w:r>
    </w:p>
    <w:p w:rsidR="00477D06" w:rsidRDefault="00A372AF">
      <w:pPr>
        <w:shd w:val="clear" w:color="auto" w:fill="FFFFFF"/>
        <w:spacing w:after="0" w:line="288" w:lineRule="auto"/>
        <w:ind w:firstLine="720"/>
        <w:jc w:val="both"/>
      </w:pPr>
      <w:r>
        <w:t xml:space="preserve">UNFPA в Україні запрошує кваліфікованих постачальників послуг та креативні агентства, що мають успішний досвід у сфері цифрового маркетингу та комунікацій, до розробки та реалізації </w:t>
      </w:r>
      <w:r>
        <w:lastRenderedPageBreak/>
        <w:t>гібридної освітньої програми з блогерства (резиденція та онлайновий відеокурс) для молоді. Обрана агенція має розробити зміст і програму курсу, провести онлайновий курс підвищення кваліфікації та офлайновий захід, записати відео-уроки/ модулі курсів, що передбачатиме залучення кваліфікованих експертів і спеціалістів у цій сфері до розробки такого контенту, провести курс підвищення кваліфікації та освітню промо-кампанію програми.</w:t>
      </w:r>
    </w:p>
    <w:p w:rsidR="00477D06" w:rsidRDefault="00A372AF">
      <w:pPr>
        <w:shd w:val="clear" w:color="auto" w:fill="FFFFFF"/>
        <w:spacing w:after="0" w:line="288" w:lineRule="auto"/>
        <w:ind w:firstLine="720"/>
        <w:jc w:val="both"/>
      </w:pPr>
      <w:r>
        <w:t>В основу тематичних питань програми будуть покладені гуманітарне реагування та мандат UNFPA; вони включатимуть у себе такі питання, як молодь і її роль під час гуманітарних криз; боротьба проти гендерного насильства; вирішення проблеми соціальних норм; сексуальне та репродуктивне здоров’я; професійний розвиток молоді протягом кризового періоду, тощо. Участь у курсі підвищення кваліфікації також надасть можливість молодим людям розповісти про свою роль у гуманітарному реагуванні та в заходах відновлення у своїх громадах, а також дасть їм змогу висловлюватися від імені молоді та діяти в якості послів UNFPA у своїх громадах.</w:t>
      </w:r>
    </w:p>
    <w:p w:rsidR="00477D06" w:rsidRDefault="00A372AF">
      <w:pPr>
        <w:shd w:val="clear" w:color="auto" w:fill="FFFFFF"/>
        <w:spacing w:after="0" w:line="288" w:lineRule="auto"/>
        <w:ind w:firstLine="720"/>
        <w:jc w:val="both"/>
        <w:rPr>
          <w:b/>
        </w:rPr>
      </w:pPr>
      <w:r>
        <w:rPr>
          <w:b/>
        </w:rPr>
        <w:t>Мета:</w:t>
      </w:r>
    </w:p>
    <w:p w:rsidR="00477D06" w:rsidRDefault="00A372AF">
      <w:pPr>
        <w:shd w:val="clear" w:color="auto" w:fill="FFFFFF"/>
        <w:spacing w:after="0" w:line="288" w:lineRule="auto"/>
        <w:ind w:firstLine="720"/>
        <w:jc w:val="both"/>
      </w:pPr>
      <w:r>
        <w:t>Освітня програма спрямована на надання допомоги молодим людям у розвитку навичок і вміння ефективно формулювати власні судження та вести комунікацію зі своєю цільовою аудиторією, бути готовими до дій під час конфлікту та протягом кризового періоду в своїх громадах, а також зміцнювати свою здатність до практичного впровадження мандату UNFPA. Курс закладе основу для створення майбутніх позитивних прикладів для наслідування для молоді та рушіїв змін.</w:t>
      </w:r>
    </w:p>
    <w:p w:rsidR="00477D06" w:rsidRDefault="00A372AF">
      <w:pPr>
        <w:shd w:val="clear" w:color="auto" w:fill="FFFFFF"/>
        <w:spacing w:after="0" w:line="288" w:lineRule="auto"/>
        <w:ind w:firstLine="720"/>
        <w:jc w:val="both"/>
      </w:pPr>
      <w:r>
        <w:t xml:space="preserve"> </w:t>
      </w:r>
    </w:p>
    <w:p w:rsidR="00477D06" w:rsidRDefault="00A372AF">
      <w:pPr>
        <w:shd w:val="clear" w:color="auto" w:fill="FFFFFF"/>
        <w:spacing w:after="0" w:line="288" w:lineRule="auto"/>
        <w:ind w:firstLine="720"/>
        <w:jc w:val="both"/>
        <w:rPr>
          <w:b/>
        </w:rPr>
      </w:pPr>
      <w:r>
        <w:rPr>
          <w:b/>
        </w:rPr>
        <w:t>II. Методологія</w:t>
      </w:r>
    </w:p>
    <w:p w:rsidR="00477D06" w:rsidRDefault="00A372AF">
      <w:pPr>
        <w:shd w:val="clear" w:color="auto" w:fill="FFFFFF"/>
        <w:spacing w:after="0" w:line="288" w:lineRule="auto"/>
        <w:ind w:firstLine="720"/>
        <w:jc w:val="both"/>
        <w:rPr>
          <w:b/>
        </w:rPr>
      </w:pPr>
      <w:r>
        <w:rPr>
          <w:b/>
        </w:rPr>
        <w:t>Обсяг робіт:</w:t>
      </w:r>
    </w:p>
    <w:p w:rsidR="00477D06" w:rsidRDefault="00A372AF">
      <w:pPr>
        <w:shd w:val="clear" w:color="auto" w:fill="FFFFFF"/>
        <w:spacing w:after="0" w:line="288" w:lineRule="auto"/>
        <w:ind w:firstLine="720"/>
        <w:jc w:val="both"/>
      </w:pPr>
      <w:r>
        <w:t>До складу Програми ввійдуть два види діяльності: гібридний освітній курс з блогерства для молоді та онлайновий освітній курс.</w:t>
      </w:r>
    </w:p>
    <w:p w:rsidR="00477D06" w:rsidRDefault="00A372AF">
      <w:pPr>
        <w:shd w:val="clear" w:color="auto" w:fill="FFFFFF"/>
        <w:spacing w:after="0" w:line="288" w:lineRule="auto"/>
        <w:ind w:firstLine="720"/>
        <w:jc w:val="both"/>
      </w:pPr>
      <w:r>
        <w:rPr>
          <w:b/>
          <w:i/>
        </w:rPr>
        <w:t xml:space="preserve">Перша частина </w:t>
      </w:r>
      <w:r>
        <w:t>– гібридний освітній курс – передбачає 5 тематичних днів у форматі 10 онлайнових практичних семінарів і два дні для проведення підсумкового заходу для випускників. Відомі та авторитетні українські блогери та лідери думок проведуть його для 25 представників молоді, які будуть обрані через відкритий конкурс. Навчальні практичні семінари повинні стати джерелом нових знань і навичок, а також будуть супроводжуватися практичними завданнями. Фінальний офлайновий захід дасть можливість випускникам представити результати проходження курсів (створені блоги). Він має бути проведений у форматі тімбілдінгу, за участі лідерів думок.</w:t>
      </w:r>
    </w:p>
    <w:p w:rsidR="00477D06" w:rsidRDefault="00A372AF">
      <w:pPr>
        <w:shd w:val="clear" w:color="auto" w:fill="FFFFFF"/>
        <w:spacing w:after="0" w:line="288" w:lineRule="auto"/>
        <w:ind w:firstLine="720"/>
        <w:jc w:val="both"/>
      </w:pPr>
      <w:r>
        <w:rPr>
          <w:b/>
          <w:i/>
        </w:rPr>
        <w:t xml:space="preserve">Друга частина </w:t>
      </w:r>
      <w:r>
        <w:t>– створення онлайн туторіалу (онлайновий курс) – має бути проведена у форматі 10 записаних відеоуроків від тренерів. Курс має бути заснований на навчальних матеріалах, підготовлених для курсу по блогерству, та оприлюднений на одній із платформ онлайн навчання (наприклад, Coursera, Prometheus, Edera, Zrozumilo! тощо). Освітній курс має поєднувати в собі корисний контент і практичну інформацію (від алгоритмів перевірки фактів до ресурсів для всіх).</w:t>
      </w:r>
    </w:p>
    <w:p w:rsidR="00477D06" w:rsidRDefault="00A372AF">
      <w:pPr>
        <w:shd w:val="clear" w:color="auto" w:fill="FFFFFF"/>
        <w:spacing w:after="0" w:line="288" w:lineRule="auto"/>
        <w:ind w:firstLine="720"/>
        <w:jc w:val="both"/>
      </w:pPr>
      <w:r>
        <w:t xml:space="preserve"> </w:t>
      </w:r>
    </w:p>
    <w:p w:rsidR="00477D06" w:rsidRDefault="00A372AF">
      <w:pPr>
        <w:shd w:val="clear" w:color="auto" w:fill="FFFFFF"/>
        <w:spacing w:after="0" w:line="288" w:lineRule="auto"/>
        <w:ind w:firstLine="720"/>
        <w:jc w:val="both"/>
        <w:rPr>
          <w:b/>
        </w:rPr>
      </w:pPr>
      <w:r>
        <w:rPr>
          <w:b/>
        </w:rPr>
        <w:t>Список запропонованих тем для онлайнового курсу містить, зокрема, наступне:</w:t>
      </w:r>
    </w:p>
    <w:p w:rsidR="00477D06" w:rsidRDefault="00A372AF">
      <w:pPr>
        <w:shd w:val="clear" w:color="auto" w:fill="FFFFFF"/>
        <w:spacing w:after="0" w:line="288" w:lineRule="auto"/>
        <w:ind w:firstLine="720"/>
        <w:jc w:val="both"/>
        <w:rPr>
          <w:b/>
        </w:rPr>
      </w:pPr>
      <w:r>
        <w:rPr>
          <w:b/>
        </w:rPr>
        <w:t>Обов’язково:</w:t>
      </w:r>
    </w:p>
    <w:p w:rsidR="00477D06" w:rsidRDefault="00A372AF">
      <w:pPr>
        <w:shd w:val="clear" w:color="auto" w:fill="FFFFFF"/>
        <w:spacing w:after="0" w:line="288" w:lineRule="auto"/>
        <w:ind w:firstLine="720"/>
        <w:jc w:val="both"/>
      </w:pPr>
      <w:r>
        <w:rPr>
          <w:b/>
        </w:rPr>
        <w:t xml:space="preserve"> </w:t>
      </w:r>
      <w:r>
        <w:t>●      Основи ведення блогів. Успішний блог з нуля або виведення існуючого блогу на новий рівень</w:t>
      </w:r>
    </w:p>
    <w:p w:rsidR="00477D06" w:rsidRDefault="00A372AF">
      <w:pPr>
        <w:shd w:val="clear" w:color="auto" w:fill="FFFFFF"/>
        <w:spacing w:after="0" w:line="288" w:lineRule="auto"/>
        <w:ind w:firstLine="720"/>
        <w:jc w:val="both"/>
      </w:pPr>
      <w:r>
        <w:t>●      Основи ведення блогу: як створити контент-план</w:t>
      </w:r>
    </w:p>
    <w:p w:rsidR="00477D06" w:rsidRDefault="00A372AF">
      <w:pPr>
        <w:shd w:val="clear" w:color="auto" w:fill="FFFFFF"/>
        <w:spacing w:after="0" w:line="288" w:lineRule="auto"/>
        <w:ind w:firstLine="720"/>
        <w:jc w:val="both"/>
      </w:pPr>
      <w:r>
        <w:t>●      Основи ведення блогів: що можна і чого не можна робити для успішного блогу (критичне мислення, перевірка фактів і фейкові новини, відсутність “мови ненависті” у блогах)</w:t>
      </w:r>
    </w:p>
    <w:p w:rsidR="00477D06" w:rsidRDefault="00A372AF">
      <w:pPr>
        <w:shd w:val="clear" w:color="auto" w:fill="FFFFFF"/>
        <w:spacing w:after="0" w:line="288" w:lineRule="auto"/>
        <w:ind w:firstLine="720"/>
        <w:jc w:val="both"/>
      </w:pPr>
      <w:r>
        <w:t>●      Основи ведення блогів: дизайн і розвиток</w:t>
      </w:r>
    </w:p>
    <w:p w:rsidR="00477D06" w:rsidRDefault="00A372AF">
      <w:pPr>
        <w:shd w:val="clear" w:color="auto" w:fill="FFFFFF"/>
        <w:spacing w:after="0" w:line="288" w:lineRule="auto"/>
        <w:ind w:firstLine="720"/>
        <w:jc w:val="both"/>
      </w:pPr>
      <w:r>
        <w:lastRenderedPageBreak/>
        <w:t>●      Основи ведення блогів: технології</w:t>
      </w:r>
    </w:p>
    <w:p w:rsidR="00477D06" w:rsidRDefault="00A372AF">
      <w:pPr>
        <w:shd w:val="clear" w:color="auto" w:fill="FFFFFF"/>
        <w:spacing w:after="0" w:line="288" w:lineRule="auto"/>
        <w:ind w:firstLine="720"/>
        <w:jc w:val="both"/>
      </w:pPr>
      <w:r>
        <w:t>●      Основи ведення блогів: маркетинг</w:t>
      </w:r>
    </w:p>
    <w:p w:rsidR="00477D06" w:rsidRDefault="00A372AF">
      <w:pPr>
        <w:shd w:val="clear" w:color="auto" w:fill="FFFFFF"/>
        <w:spacing w:after="0" w:line="288" w:lineRule="auto"/>
        <w:ind w:firstLine="720"/>
        <w:jc w:val="both"/>
      </w:pPr>
      <w:r>
        <w:t>●      Основи ведення блогу: фінанси, монетизація свого блогу</w:t>
      </w:r>
    </w:p>
    <w:p w:rsidR="00477D06" w:rsidRDefault="00A372AF">
      <w:pPr>
        <w:shd w:val="clear" w:color="auto" w:fill="FFFFFF"/>
        <w:spacing w:after="0" w:line="288" w:lineRule="auto"/>
        <w:ind w:firstLine="720"/>
        <w:jc w:val="both"/>
      </w:pPr>
      <w:r>
        <w:t>●      Основи ведення блогів: візуальне представлення, редагування візуального контенту для соціальних мереж.</w:t>
      </w:r>
    </w:p>
    <w:p w:rsidR="00477D06" w:rsidRDefault="00A372AF">
      <w:pPr>
        <w:shd w:val="clear" w:color="auto" w:fill="FFFFFF"/>
        <w:spacing w:after="0" w:line="288" w:lineRule="auto"/>
        <w:ind w:firstLine="720"/>
        <w:jc w:val="both"/>
      </w:pPr>
      <w:r>
        <w:t xml:space="preserve"> </w:t>
      </w:r>
    </w:p>
    <w:p w:rsidR="00477D06" w:rsidRDefault="00A372AF">
      <w:pPr>
        <w:shd w:val="clear" w:color="auto" w:fill="FFFFFF"/>
        <w:spacing w:after="0" w:line="288" w:lineRule="auto"/>
        <w:ind w:firstLine="720"/>
        <w:jc w:val="both"/>
        <w:rPr>
          <w:b/>
        </w:rPr>
      </w:pPr>
      <w:r>
        <w:rPr>
          <w:b/>
        </w:rPr>
        <w:t>Цільова аудиторія та очікувані результати, які повинні бути досягнуті у 2022 році:</w:t>
      </w:r>
    </w:p>
    <w:p w:rsidR="00477D06" w:rsidRDefault="00A372AF">
      <w:pPr>
        <w:shd w:val="clear" w:color="auto" w:fill="FFFFFF"/>
        <w:spacing w:after="0" w:line="288" w:lineRule="auto"/>
        <w:ind w:firstLine="720"/>
        <w:jc w:val="both"/>
      </w:pPr>
      <w:r>
        <w:t>Освітня програма буде розрахована на молодих дівчат і хлопців віком 17-25 років.</w:t>
      </w:r>
    </w:p>
    <w:p w:rsidR="00477D06" w:rsidRDefault="00A372AF">
      <w:pPr>
        <w:shd w:val="clear" w:color="auto" w:fill="FFFFFF"/>
        <w:spacing w:after="0" w:line="288" w:lineRule="auto"/>
        <w:ind w:firstLine="720"/>
        <w:jc w:val="both"/>
      </w:pPr>
      <w:r>
        <w:t>●        Загалом 200 молодих дівчат і хлопців пройдуть курс на обраній платформі онлайн навчання</w:t>
      </w:r>
    </w:p>
    <w:p w:rsidR="00477D06" w:rsidRDefault="00A372AF">
      <w:pPr>
        <w:shd w:val="clear" w:color="auto" w:fill="FFFFFF"/>
        <w:spacing w:after="0" w:line="288" w:lineRule="auto"/>
        <w:ind w:firstLine="720"/>
        <w:jc w:val="both"/>
      </w:pPr>
      <w:r>
        <w:t>●        Загалом до курсу підвищення кваліфікації буде залучено 25 учасників (15 мають завершити навчання та взяти участь у фінальному заході)</w:t>
      </w:r>
    </w:p>
    <w:p w:rsidR="00477D06" w:rsidRDefault="00A372AF">
      <w:pPr>
        <w:shd w:val="clear" w:color="auto" w:fill="FFFFFF"/>
        <w:spacing w:after="0" w:line="288" w:lineRule="auto"/>
        <w:ind w:firstLine="720"/>
        <w:jc w:val="both"/>
      </w:pPr>
      <w:r>
        <w:t>Зона охоплення – вся країна (Україна).</w:t>
      </w:r>
    </w:p>
    <w:p w:rsidR="00477D06" w:rsidRDefault="00477D06">
      <w:pPr>
        <w:shd w:val="clear" w:color="auto" w:fill="FFFFFF"/>
        <w:spacing w:after="0" w:line="288" w:lineRule="auto"/>
        <w:ind w:firstLine="720"/>
        <w:jc w:val="both"/>
      </w:pPr>
    </w:p>
    <w:p w:rsidR="00477D06" w:rsidRDefault="00A372AF">
      <w:pPr>
        <w:shd w:val="clear" w:color="auto" w:fill="FFFFFF"/>
        <w:spacing w:after="0" w:line="288" w:lineRule="auto"/>
        <w:ind w:firstLine="720"/>
        <w:jc w:val="both"/>
        <w:rPr>
          <w:b/>
        </w:rPr>
      </w:pPr>
      <w:r>
        <w:rPr>
          <w:b/>
        </w:rPr>
        <w:t>План роботи:</w:t>
      </w:r>
    </w:p>
    <w:p w:rsidR="00477D06" w:rsidRDefault="00A372AF">
      <w:pPr>
        <w:shd w:val="clear" w:color="auto" w:fill="FFFFFF"/>
        <w:spacing w:after="0" w:line="288" w:lineRule="auto"/>
        <w:ind w:firstLine="720"/>
        <w:jc w:val="both"/>
      </w:pPr>
      <w:r>
        <w:t xml:space="preserve">1. </w:t>
      </w:r>
      <w:r>
        <w:tab/>
        <w:t>Знайти та запропонувати лідерів думок/ відомих блогерів/ фахівців у цій сфері (включити їхній гонорар до бюджету). Під час переговорного процесу UNFPA надасть перелік лідерів думок/ відомих блогерів/ фахівців, які можуть бути залучені. Після схвалення UNFPA, спільно з залученими експертами розробити зміст програми. Запропонувати місце проведення курсу (Instagram тощо).</w:t>
      </w:r>
    </w:p>
    <w:p w:rsidR="00477D06" w:rsidRDefault="00A372AF">
      <w:pPr>
        <w:shd w:val="clear" w:color="auto" w:fill="FFFFFF"/>
        <w:spacing w:after="0" w:line="288" w:lineRule="auto"/>
        <w:ind w:firstLine="720"/>
        <w:jc w:val="both"/>
      </w:pPr>
      <w:r>
        <w:t xml:space="preserve">2. </w:t>
      </w:r>
      <w:r>
        <w:tab/>
        <w:t>Створити візуальний стиль курсу. Розробити супутню  атрибутику, таку як футболки, крафтовий папір (для обгортки), наклейки.</w:t>
      </w:r>
    </w:p>
    <w:p w:rsidR="00477D06" w:rsidRDefault="00A372AF">
      <w:pPr>
        <w:shd w:val="clear" w:color="auto" w:fill="FFFFFF"/>
        <w:spacing w:after="0" w:line="288" w:lineRule="auto"/>
        <w:ind w:firstLine="720"/>
        <w:jc w:val="both"/>
      </w:pPr>
      <w:r>
        <w:t xml:space="preserve">3. </w:t>
      </w:r>
      <w:r>
        <w:tab/>
        <w:t>Розробити промо-кампанію для залучення молоді до курсу (діджитал, медіа)</w:t>
      </w:r>
    </w:p>
    <w:p w:rsidR="00477D06" w:rsidRDefault="00A372AF">
      <w:pPr>
        <w:shd w:val="clear" w:color="auto" w:fill="FFFFFF"/>
        <w:spacing w:after="0" w:line="288" w:lineRule="auto"/>
        <w:ind w:firstLine="720"/>
        <w:jc w:val="both"/>
      </w:pPr>
      <w:r>
        <w:t xml:space="preserve">4. </w:t>
      </w:r>
      <w:r>
        <w:tab/>
        <w:t>Організація курсу (5 днів) та його загальне забезпечення та реалізація (контакт з учасниками, експертами тощо) (сторінка в Instagram)</w:t>
      </w:r>
    </w:p>
    <w:p w:rsidR="00477D06" w:rsidRDefault="00A372AF">
      <w:pPr>
        <w:shd w:val="clear" w:color="auto" w:fill="FFFFFF"/>
        <w:spacing w:after="0" w:line="288" w:lineRule="auto"/>
        <w:ind w:firstLine="720"/>
        <w:jc w:val="both"/>
      </w:pPr>
      <w:r>
        <w:t xml:space="preserve">5. </w:t>
      </w:r>
      <w:r>
        <w:tab/>
        <w:t>Організація офлайнового заходу (2 дні) у місці, узгодженому з UNFPA (оренда, харчування, прийом учасників і спікерів/спікерок, технічна підтримка на стороні постачальника послуг)</w:t>
      </w:r>
    </w:p>
    <w:p w:rsidR="00477D06" w:rsidRDefault="00A372AF">
      <w:pPr>
        <w:shd w:val="clear" w:color="auto" w:fill="FFFFFF"/>
        <w:spacing w:after="0" w:line="288" w:lineRule="auto"/>
        <w:ind w:firstLine="720"/>
        <w:jc w:val="both"/>
      </w:pPr>
      <w:r>
        <w:t xml:space="preserve">6. </w:t>
      </w:r>
      <w:r>
        <w:tab/>
        <w:t>Запис відеоуроків (10 відео) за участі спікерів курсу. Відеоролики мають бути розміщені на освітній платформі (Prometheus, Coursera), а також завантажені на веб-сайт</w:t>
      </w:r>
      <w:hyperlink r:id="rId9">
        <w:r>
          <w:rPr>
            <w:color w:val="0563C1"/>
            <w:u w:val="single"/>
          </w:rPr>
          <w:t xml:space="preserve"> YouthWellBeing</w:t>
        </w:r>
      </w:hyperlink>
      <w:r>
        <w:t>. Очікується щонайменше 10 000 переглядів (cумарно всіх відео) до кінця 2022 року.</w:t>
      </w:r>
    </w:p>
    <w:p w:rsidR="00477D06" w:rsidRDefault="00A372AF">
      <w:pPr>
        <w:shd w:val="clear" w:color="auto" w:fill="FFFFFF"/>
        <w:spacing w:after="0" w:line="288" w:lineRule="auto"/>
        <w:ind w:firstLine="720"/>
        <w:jc w:val="both"/>
      </w:pPr>
      <w:r>
        <w:t>Референси:</w:t>
      </w:r>
    </w:p>
    <w:p w:rsidR="00477D06" w:rsidRDefault="00061623">
      <w:pPr>
        <w:shd w:val="clear" w:color="auto" w:fill="FFFFFF"/>
        <w:spacing w:after="0" w:line="288" w:lineRule="auto"/>
        <w:ind w:firstLine="720"/>
        <w:jc w:val="both"/>
        <w:rPr>
          <w:u w:val="single"/>
        </w:rPr>
      </w:pPr>
      <w:hyperlink r:id="rId10">
        <w:r w:rsidR="00A372AF">
          <w:rPr>
            <w:color w:val="0563C1"/>
            <w:u w:val="single"/>
          </w:rPr>
          <w:t>https://youtube.com/playlist?list=PLV4zy1apmIUZVpKXIe10gUUaTRShmiZry</w:t>
        </w:r>
      </w:hyperlink>
    </w:p>
    <w:p w:rsidR="00477D06" w:rsidRDefault="00A372AF">
      <w:pPr>
        <w:shd w:val="clear" w:color="auto" w:fill="FFFFFF"/>
        <w:spacing w:after="0" w:line="288" w:lineRule="auto"/>
        <w:ind w:firstLine="720"/>
        <w:jc w:val="both"/>
      </w:pPr>
      <w:r>
        <w:t xml:space="preserve">  </w:t>
      </w:r>
    </w:p>
    <w:tbl>
      <w:tblPr>
        <w:tblStyle w:val="af2"/>
        <w:tblW w:w="8730" w:type="dxa"/>
        <w:tblBorders>
          <w:top w:val="nil"/>
          <w:left w:val="nil"/>
          <w:bottom w:val="nil"/>
          <w:right w:val="nil"/>
          <w:insideH w:val="nil"/>
          <w:insideV w:val="nil"/>
        </w:tblBorders>
        <w:tblLayout w:type="fixed"/>
        <w:tblLook w:val="0600" w:firstRow="0" w:lastRow="0" w:firstColumn="0" w:lastColumn="0" w:noHBand="1" w:noVBand="1"/>
      </w:tblPr>
      <w:tblGrid>
        <w:gridCol w:w="4410"/>
        <w:gridCol w:w="4320"/>
      </w:tblGrid>
      <w:tr w:rsidR="00477D06">
        <w:trPr>
          <w:trHeight w:val="51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rPr>
                <w:b/>
              </w:rPr>
            </w:pPr>
            <w:r>
              <w:rPr>
                <w:b/>
              </w:rPr>
              <w:t>Очікувані результати</w:t>
            </w:r>
          </w:p>
        </w:tc>
        <w:tc>
          <w:tcPr>
            <w:tcW w:w="4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rPr>
                <w:b/>
              </w:rPr>
            </w:pPr>
            <w:r>
              <w:rPr>
                <w:b/>
              </w:rPr>
              <w:t>Період</w:t>
            </w:r>
          </w:p>
        </w:tc>
      </w:tr>
      <w:tr w:rsidR="00477D06">
        <w:trPr>
          <w:trHeight w:val="826"/>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Розробка програми для курсу підвищення кваліфікації із залученням лідерів думок, блогерів і спеціалістів.</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До 30 липня</w:t>
            </w:r>
          </w:p>
        </w:tc>
      </w:tr>
      <w:tr w:rsidR="00477D06">
        <w:trPr>
          <w:trHeight w:val="10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Промо- та медіа-кампанія. Попередній відбір учасників та учасниць.</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До 15 серпня</w:t>
            </w:r>
          </w:p>
        </w:tc>
      </w:tr>
      <w:tr w:rsidR="00477D06">
        <w:trPr>
          <w:trHeight w:val="85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lastRenderedPageBreak/>
              <w:t>Підготовка, проведення онлайнового курсу підвищення кваліфікації</w:t>
            </w:r>
          </w:p>
          <w:p w:rsidR="00477D06" w:rsidRDefault="00A372AF">
            <w:pPr>
              <w:shd w:val="clear" w:color="auto" w:fill="FFFFFF"/>
              <w:spacing w:after="0" w:line="288" w:lineRule="auto"/>
              <w:jc w:val="both"/>
            </w:pPr>
            <w:r>
              <w:t>Проведення офлайнового заходу</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До 15 вересня</w:t>
            </w:r>
          </w:p>
        </w:tc>
      </w:tr>
      <w:tr w:rsidR="00477D06">
        <w:trPr>
          <w:trHeight w:val="242"/>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Запис і монтаж відеоуроків</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До 31 жовтня</w:t>
            </w:r>
          </w:p>
        </w:tc>
      </w:tr>
      <w:tr w:rsidR="00477D06">
        <w:trPr>
          <w:trHeight w:val="291"/>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Звітність</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477D06" w:rsidRDefault="00A372AF">
            <w:pPr>
              <w:shd w:val="clear" w:color="auto" w:fill="FFFFFF"/>
              <w:spacing w:after="0" w:line="288" w:lineRule="auto"/>
              <w:jc w:val="both"/>
            </w:pPr>
            <w:r>
              <w:t>До 15 грудня</w:t>
            </w:r>
          </w:p>
        </w:tc>
      </w:tr>
    </w:tbl>
    <w:p w:rsidR="00477D06" w:rsidRDefault="00477D06">
      <w:pPr>
        <w:shd w:val="clear" w:color="auto" w:fill="FFFFFF"/>
        <w:spacing w:line="288" w:lineRule="auto"/>
        <w:jc w:val="both"/>
        <w:rPr>
          <w:b/>
          <w:color w:val="000000"/>
          <w:highlight w:val="white"/>
        </w:rPr>
      </w:pPr>
    </w:p>
    <w:p w:rsidR="00477D06" w:rsidRDefault="00A372AF">
      <w:pPr>
        <w:shd w:val="clear" w:color="auto" w:fill="FFFFFF"/>
        <w:spacing w:line="360" w:lineRule="auto"/>
        <w:jc w:val="both"/>
        <w:rPr>
          <w:b/>
          <w:color w:val="000000"/>
        </w:rPr>
      </w:pPr>
      <w:r>
        <w:rPr>
          <w:b/>
          <w:color w:val="000000"/>
        </w:rPr>
        <w:t>Оплата</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5265"/>
        <w:gridCol w:w="3120"/>
      </w:tblGrid>
      <w:tr w:rsidR="00477D06">
        <w:tc>
          <w:tcPr>
            <w:tcW w:w="975" w:type="dxa"/>
            <w:shd w:val="clear" w:color="auto" w:fill="auto"/>
            <w:tcMar>
              <w:top w:w="100" w:type="dxa"/>
              <w:left w:w="100" w:type="dxa"/>
              <w:bottom w:w="100" w:type="dxa"/>
              <w:right w:w="100" w:type="dxa"/>
            </w:tcMar>
          </w:tcPr>
          <w:p w:rsidR="00477D06" w:rsidRDefault="00477D06">
            <w:pPr>
              <w:widowControl w:val="0"/>
              <w:pBdr>
                <w:top w:val="nil"/>
                <w:left w:val="nil"/>
                <w:bottom w:val="nil"/>
                <w:right w:val="nil"/>
                <w:between w:val="nil"/>
              </w:pBdr>
              <w:spacing w:line="240" w:lineRule="auto"/>
              <w:rPr>
                <w:color w:val="000000"/>
              </w:rPr>
            </w:pPr>
          </w:p>
        </w:tc>
        <w:tc>
          <w:tcPr>
            <w:tcW w:w="5265" w:type="dxa"/>
            <w:shd w:val="clear" w:color="auto" w:fill="auto"/>
            <w:tcMar>
              <w:top w:w="100" w:type="dxa"/>
              <w:left w:w="100" w:type="dxa"/>
              <w:bottom w:w="100" w:type="dxa"/>
              <w:right w:w="100" w:type="dxa"/>
            </w:tcMar>
          </w:tcPr>
          <w:p w:rsidR="00477D06" w:rsidRDefault="00A372AF">
            <w:pPr>
              <w:widowControl w:val="0"/>
              <w:pBdr>
                <w:top w:val="nil"/>
                <w:left w:val="nil"/>
                <w:bottom w:val="nil"/>
                <w:right w:val="nil"/>
                <w:between w:val="nil"/>
              </w:pBdr>
              <w:spacing w:line="240" w:lineRule="auto"/>
              <w:rPr>
                <w:color w:val="000000"/>
              </w:rPr>
            </w:pPr>
            <w:r>
              <w:rPr>
                <w:color w:val="000000"/>
              </w:rPr>
              <w:t>Послуги</w:t>
            </w:r>
          </w:p>
        </w:tc>
        <w:tc>
          <w:tcPr>
            <w:tcW w:w="3120" w:type="dxa"/>
            <w:shd w:val="clear" w:color="auto" w:fill="auto"/>
            <w:tcMar>
              <w:top w:w="100" w:type="dxa"/>
              <w:left w:w="100" w:type="dxa"/>
              <w:bottom w:w="100" w:type="dxa"/>
              <w:right w:w="100" w:type="dxa"/>
            </w:tcMar>
          </w:tcPr>
          <w:p w:rsidR="00477D06" w:rsidRDefault="00A372AF">
            <w:pPr>
              <w:widowControl w:val="0"/>
              <w:pBdr>
                <w:top w:val="nil"/>
                <w:left w:val="nil"/>
                <w:bottom w:val="nil"/>
                <w:right w:val="nil"/>
                <w:between w:val="nil"/>
              </w:pBdr>
              <w:spacing w:line="240" w:lineRule="auto"/>
              <w:rPr>
                <w:color w:val="000000"/>
              </w:rPr>
            </w:pPr>
            <w:r>
              <w:rPr>
                <w:color w:val="000000"/>
              </w:rPr>
              <w:t>Умови та терміни оплати</w:t>
            </w:r>
          </w:p>
        </w:tc>
      </w:tr>
      <w:tr w:rsidR="00477D06">
        <w:tc>
          <w:tcPr>
            <w:tcW w:w="975" w:type="dxa"/>
            <w:shd w:val="clear" w:color="auto" w:fill="auto"/>
            <w:tcMar>
              <w:top w:w="100" w:type="dxa"/>
              <w:left w:w="100" w:type="dxa"/>
              <w:bottom w:w="100" w:type="dxa"/>
              <w:right w:w="100" w:type="dxa"/>
            </w:tcMar>
          </w:tcPr>
          <w:p w:rsidR="00477D06" w:rsidRDefault="00A372AF">
            <w:pPr>
              <w:widowControl w:val="0"/>
              <w:pBdr>
                <w:top w:val="nil"/>
                <w:left w:val="nil"/>
                <w:bottom w:val="nil"/>
                <w:right w:val="nil"/>
                <w:between w:val="nil"/>
              </w:pBdr>
              <w:spacing w:line="240" w:lineRule="auto"/>
              <w:rPr>
                <w:color w:val="000000"/>
              </w:rPr>
            </w:pPr>
            <w:r>
              <w:rPr>
                <w:color w:val="000000"/>
              </w:rPr>
              <w:t>1.</w:t>
            </w:r>
          </w:p>
        </w:tc>
        <w:tc>
          <w:tcPr>
            <w:tcW w:w="5265" w:type="dxa"/>
            <w:shd w:val="clear" w:color="auto" w:fill="auto"/>
            <w:tcMar>
              <w:top w:w="100" w:type="dxa"/>
              <w:left w:w="100" w:type="dxa"/>
              <w:bottom w:w="100" w:type="dxa"/>
              <w:right w:w="100" w:type="dxa"/>
            </w:tcMar>
          </w:tcPr>
          <w:p w:rsidR="00477D06" w:rsidRDefault="00A372AF">
            <w:pPr>
              <w:widowControl w:val="0"/>
              <w:pBdr>
                <w:top w:val="nil"/>
                <w:left w:val="nil"/>
                <w:bottom w:val="nil"/>
                <w:right w:val="nil"/>
                <w:between w:val="nil"/>
              </w:pBdr>
              <w:spacing w:line="240" w:lineRule="auto"/>
              <w:rPr>
                <w:color w:val="000000"/>
              </w:rPr>
            </w:pPr>
            <w:r>
              <w:rPr>
                <w:color w:val="000000"/>
              </w:rPr>
              <w:t>Звіт щодо наданих послуг у рамках вимог ТЗ  за період із 27 червня до 30 вересня 2022 року</w:t>
            </w:r>
          </w:p>
        </w:tc>
        <w:tc>
          <w:tcPr>
            <w:tcW w:w="3120" w:type="dxa"/>
            <w:shd w:val="clear" w:color="auto" w:fill="auto"/>
            <w:tcMar>
              <w:top w:w="100" w:type="dxa"/>
              <w:left w:w="100" w:type="dxa"/>
              <w:bottom w:w="100" w:type="dxa"/>
              <w:right w:w="100" w:type="dxa"/>
            </w:tcMar>
          </w:tcPr>
          <w:p w:rsidR="00477D06" w:rsidRDefault="00A372AF">
            <w:pPr>
              <w:widowControl w:val="0"/>
              <w:pBdr>
                <w:top w:val="nil"/>
                <w:left w:val="nil"/>
                <w:bottom w:val="nil"/>
                <w:right w:val="nil"/>
                <w:between w:val="nil"/>
              </w:pBdr>
              <w:spacing w:line="240" w:lineRule="auto"/>
            </w:pPr>
            <w:r>
              <w:rPr>
                <w:color w:val="000000"/>
              </w:rPr>
              <w:t>Оплата 50% від суми договору</w:t>
            </w:r>
            <w:r>
              <w:t xml:space="preserve"> до 15 жовтня</w:t>
            </w:r>
          </w:p>
        </w:tc>
      </w:tr>
      <w:tr w:rsidR="00477D06">
        <w:tc>
          <w:tcPr>
            <w:tcW w:w="975" w:type="dxa"/>
            <w:shd w:val="clear" w:color="auto" w:fill="auto"/>
            <w:tcMar>
              <w:top w:w="100" w:type="dxa"/>
              <w:left w:w="100" w:type="dxa"/>
              <w:bottom w:w="100" w:type="dxa"/>
              <w:right w:w="100" w:type="dxa"/>
            </w:tcMar>
          </w:tcPr>
          <w:p w:rsidR="00477D06" w:rsidRDefault="00A372AF">
            <w:pPr>
              <w:widowControl w:val="0"/>
              <w:pBdr>
                <w:top w:val="nil"/>
                <w:left w:val="nil"/>
                <w:bottom w:val="nil"/>
                <w:right w:val="nil"/>
                <w:between w:val="nil"/>
              </w:pBdr>
              <w:spacing w:line="240" w:lineRule="auto"/>
              <w:rPr>
                <w:color w:val="000000"/>
              </w:rPr>
            </w:pPr>
            <w:r>
              <w:rPr>
                <w:color w:val="000000"/>
              </w:rPr>
              <w:t>2.</w:t>
            </w:r>
          </w:p>
        </w:tc>
        <w:tc>
          <w:tcPr>
            <w:tcW w:w="5265" w:type="dxa"/>
            <w:shd w:val="clear" w:color="auto" w:fill="auto"/>
            <w:tcMar>
              <w:top w:w="100" w:type="dxa"/>
              <w:left w:w="100" w:type="dxa"/>
              <w:bottom w:w="100" w:type="dxa"/>
              <w:right w:w="100" w:type="dxa"/>
            </w:tcMar>
          </w:tcPr>
          <w:p w:rsidR="00477D06" w:rsidRDefault="00A372AF">
            <w:pPr>
              <w:widowControl w:val="0"/>
              <w:spacing w:line="240" w:lineRule="auto"/>
              <w:rPr>
                <w:color w:val="000000"/>
              </w:rPr>
            </w:pPr>
            <w:r>
              <w:rPr>
                <w:color w:val="000000"/>
              </w:rPr>
              <w:t xml:space="preserve">Звіт щодо наданих послуг у рамках вимог ТЗ  за період із 1 жовтня до </w:t>
            </w:r>
            <w:r>
              <w:t>10</w:t>
            </w:r>
            <w:r>
              <w:rPr>
                <w:color w:val="000000"/>
              </w:rPr>
              <w:t xml:space="preserve"> грудня 2022 року</w:t>
            </w:r>
          </w:p>
        </w:tc>
        <w:tc>
          <w:tcPr>
            <w:tcW w:w="3120" w:type="dxa"/>
            <w:shd w:val="clear" w:color="auto" w:fill="auto"/>
            <w:tcMar>
              <w:top w:w="100" w:type="dxa"/>
              <w:left w:w="100" w:type="dxa"/>
              <w:bottom w:w="100" w:type="dxa"/>
              <w:right w:w="100" w:type="dxa"/>
            </w:tcMar>
          </w:tcPr>
          <w:p w:rsidR="00477D06" w:rsidRDefault="00A372AF">
            <w:pPr>
              <w:widowControl w:val="0"/>
              <w:spacing w:line="240" w:lineRule="auto"/>
              <w:rPr>
                <w:color w:val="000000"/>
              </w:rPr>
            </w:pPr>
            <w:r>
              <w:rPr>
                <w:color w:val="000000"/>
              </w:rPr>
              <w:t xml:space="preserve">Оплата 50% від суми договору до </w:t>
            </w:r>
            <w:r>
              <w:t>31 грудня</w:t>
            </w:r>
          </w:p>
          <w:p w:rsidR="00477D06" w:rsidRDefault="00477D06">
            <w:pPr>
              <w:widowControl w:val="0"/>
              <w:spacing w:line="240" w:lineRule="auto"/>
            </w:pPr>
          </w:p>
        </w:tc>
      </w:tr>
    </w:tbl>
    <w:p w:rsidR="00477D06" w:rsidRDefault="00477D06">
      <w:pPr>
        <w:jc w:val="both"/>
        <w:rPr>
          <w:b/>
          <w:color w:val="000000"/>
        </w:rPr>
      </w:pPr>
    </w:p>
    <w:p w:rsidR="00477D06" w:rsidRDefault="00A372AF">
      <w:pPr>
        <w:jc w:val="both"/>
        <w:rPr>
          <w:b/>
          <w:color w:val="000000"/>
        </w:rPr>
      </w:pPr>
      <w:r>
        <w:rPr>
          <w:b/>
          <w:color w:val="000000"/>
        </w:rPr>
        <w:t>Інтелектуальна власність</w:t>
      </w:r>
    </w:p>
    <w:p w:rsidR="00477D06" w:rsidRDefault="00A372AF">
      <w:pPr>
        <w:ind w:firstLine="720"/>
        <w:jc w:val="both"/>
      </w:pPr>
      <w: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477D06" w:rsidRDefault="00A372AF">
      <w:pPr>
        <w:jc w:val="both"/>
        <w:rPr>
          <w:b/>
        </w:rPr>
      </w:pPr>
      <w:r>
        <w:rPr>
          <w:b/>
        </w:rPr>
        <w:t>Вимоги щодо кваліфікації</w:t>
      </w:r>
    </w:p>
    <w:p w:rsidR="00477D06" w:rsidRDefault="00A372AF">
      <w:pPr>
        <w:shd w:val="clear" w:color="auto" w:fill="FFFFFF"/>
        <w:spacing w:after="120" w:line="240" w:lineRule="auto"/>
        <w:ind w:firstLine="720"/>
        <w:jc w:val="both"/>
        <w:rPr>
          <w:color w:val="000000"/>
        </w:rPr>
      </w:pPr>
      <w:r>
        <w:rPr>
          <w:color w:val="000000"/>
        </w:rPr>
        <w:t>UNFPA шукає постачальника послуг з підтвердженим досвідом у плануванні та проведенні комунікаційних кампаній, бажано соціальних кампаній.</w:t>
      </w:r>
    </w:p>
    <w:p w:rsidR="00477D06" w:rsidRDefault="00A372AF">
      <w:pPr>
        <w:shd w:val="clear" w:color="auto" w:fill="FFFFFF"/>
        <w:spacing w:after="120" w:line="240" w:lineRule="auto"/>
        <w:ind w:firstLine="720"/>
        <w:jc w:val="both"/>
        <w:rPr>
          <w:color w:val="000000"/>
        </w:rPr>
      </w:pPr>
      <w:r>
        <w:rPr>
          <w:color w:val="000000"/>
        </w:rPr>
        <w:t>Учасник тендеру повинен:</w:t>
      </w:r>
    </w:p>
    <w:p w:rsidR="00477D06" w:rsidRDefault="00A372AF">
      <w:pPr>
        <w:shd w:val="clear" w:color="auto" w:fill="FFFFFF"/>
        <w:spacing w:after="120" w:line="240" w:lineRule="auto"/>
        <w:ind w:firstLine="720"/>
        <w:jc w:val="both"/>
        <w:rPr>
          <w:color w:val="000000"/>
        </w:rPr>
      </w:pPr>
      <w:r>
        <w:rPr>
          <w:color w:val="000000"/>
        </w:rPr>
        <w:t>●       бути резидентом або мати юридичне представництво в Україні, та відповідну офіційну реєстрацію</w:t>
      </w:r>
    </w:p>
    <w:p w:rsidR="00477D06" w:rsidRDefault="00A372AF">
      <w:pPr>
        <w:shd w:val="clear" w:color="auto" w:fill="FFFFFF"/>
        <w:spacing w:after="120" w:line="240" w:lineRule="auto"/>
        <w:ind w:firstLine="720"/>
        <w:jc w:val="both"/>
        <w:rPr>
          <w:color w:val="000000"/>
        </w:rPr>
      </w:pPr>
      <w:r>
        <w:rPr>
          <w:color w:val="000000"/>
        </w:rPr>
        <w:t>●       діяти у сфері комунікацій не менше 3 років</w:t>
      </w:r>
    </w:p>
    <w:p w:rsidR="00477D06" w:rsidRDefault="00A372AF">
      <w:pPr>
        <w:shd w:val="clear" w:color="auto" w:fill="FFFFFF"/>
        <w:spacing w:after="120" w:line="240" w:lineRule="auto"/>
        <w:ind w:firstLine="720"/>
        <w:jc w:val="both"/>
        <w:rPr>
          <w:color w:val="000000"/>
        </w:rPr>
      </w:pPr>
      <w:r>
        <w:rPr>
          <w:color w:val="000000"/>
        </w:rPr>
        <w:t>●       мати досвід у сфері досліджень та комунікаційних кампаній</w:t>
      </w:r>
    </w:p>
    <w:p w:rsidR="00477D06" w:rsidRDefault="00A372AF">
      <w:pPr>
        <w:shd w:val="clear" w:color="auto" w:fill="FFFFFF"/>
        <w:spacing w:after="120" w:line="240" w:lineRule="auto"/>
        <w:ind w:firstLine="720"/>
        <w:jc w:val="both"/>
        <w:rPr>
          <w:color w:val="000000"/>
        </w:rPr>
      </w:pPr>
      <w:r>
        <w:rPr>
          <w:color w:val="000000"/>
        </w:rPr>
        <w:t>●       продемонструвати здатність дотримуватися термінів і працювати у напружених умовах</w:t>
      </w:r>
    </w:p>
    <w:p w:rsidR="00477D06" w:rsidRDefault="00A372AF">
      <w:pPr>
        <w:shd w:val="clear" w:color="auto" w:fill="FFFFFF"/>
        <w:spacing w:after="120" w:line="240" w:lineRule="auto"/>
        <w:ind w:firstLine="720"/>
        <w:jc w:val="both"/>
        <w:rPr>
          <w:color w:val="000000"/>
        </w:rPr>
      </w:pPr>
      <w:r>
        <w:rPr>
          <w:color w:val="000000"/>
        </w:rPr>
        <w:t>●       вільно володіти українською мовою</w:t>
      </w:r>
    </w:p>
    <w:p w:rsidR="00477D06" w:rsidRDefault="00A372AF">
      <w:pPr>
        <w:shd w:val="clear" w:color="auto" w:fill="FFFFFF"/>
        <w:spacing w:after="120" w:line="240" w:lineRule="auto"/>
        <w:ind w:firstLine="720"/>
        <w:jc w:val="both"/>
        <w:rPr>
          <w:color w:val="000000"/>
          <w:highlight w:val="white"/>
        </w:rPr>
      </w:pPr>
      <w:r>
        <w:rPr>
          <w:color w:val="000000"/>
        </w:rPr>
        <w:t>Попередній досвід співпраці з однією з агенцій у структурі ООН є перевагою.</w:t>
      </w:r>
    </w:p>
    <w:p w:rsidR="00477D06" w:rsidRDefault="00A372AF">
      <w:pPr>
        <w:shd w:val="clear" w:color="auto" w:fill="FFFFFF"/>
        <w:spacing w:after="120" w:line="240" w:lineRule="auto"/>
        <w:ind w:firstLine="720"/>
        <w:jc w:val="both"/>
        <w:rPr>
          <w:color w:val="000000"/>
          <w:highlight w:val="white"/>
        </w:rPr>
      </w:pPr>
      <w:r>
        <w:rPr>
          <w:color w:val="000000"/>
          <w:highlight w:val="white"/>
        </w:rPr>
        <w:t xml:space="preserve"> </w:t>
      </w:r>
    </w:p>
    <w:p w:rsidR="00477D06" w:rsidRDefault="00A372AF">
      <w:pPr>
        <w:shd w:val="clear" w:color="auto" w:fill="FFFFFF"/>
        <w:spacing w:after="120" w:line="240" w:lineRule="auto"/>
        <w:ind w:firstLine="720"/>
        <w:jc w:val="both"/>
        <w:rPr>
          <w:b/>
          <w:color w:val="000000"/>
          <w:highlight w:val="white"/>
        </w:rPr>
      </w:pPr>
      <w:r>
        <w:rPr>
          <w:b/>
          <w:color w:val="000000"/>
          <w:highlight w:val="white"/>
        </w:rPr>
        <w:t>Питання</w:t>
      </w: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ru-RU"/>
        </w:rPr>
        <w:lastRenderedPageBreak/>
        <w:t xml:space="preserve">Питання або запити на додаткові роз'яснення можна задати під час організаційної зустрічі, яка відбудеться </w:t>
      </w:r>
      <w:r w:rsidR="002B519B" w:rsidRPr="002B519B">
        <w:rPr>
          <w:rFonts w:eastAsia="Times New Roman"/>
          <w:b/>
          <w:bCs/>
          <w:color w:val="000000"/>
          <w:lang w:val="ru-RU"/>
        </w:rPr>
        <w:t>21</w:t>
      </w:r>
      <w:r w:rsidRPr="005D60BE">
        <w:rPr>
          <w:rFonts w:eastAsia="Times New Roman"/>
          <w:b/>
          <w:bCs/>
          <w:color w:val="000000"/>
          <w:lang w:val="ru-RU"/>
        </w:rPr>
        <w:t xml:space="preserve"> </w:t>
      </w:r>
      <w:r w:rsidR="00DD4AF9" w:rsidRPr="00DD4AF9">
        <w:rPr>
          <w:rFonts w:eastAsia="Times New Roman"/>
          <w:b/>
          <w:bCs/>
          <w:color w:val="000000"/>
          <w:lang w:val="ru-RU"/>
        </w:rPr>
        <w:t>червня</w:t>
      </w:r>
      <w:r w:rsidRPr="005D60BE">
        <w:rPr>
          <w:rFonts w:eastAsia="Times New Roman"/>
          <w:b/>
          <w:bCs/>
          <w:color w:val="000000"/>
          <w:lang w:val="ru-RU"/>
        </w:rPr>
        <w:t>, 2022, о 11:00 год</w:t>
      </w:r>
      <w:r w:rsidRPr="005D60BE">
        <w:rPr>
          <w:rFonts w:eastAsia="Times New Roman"/>
          <w:b/>
          <w:bCs/>
          <w:color w:val="000000"/>
          <w:lang w:val="en-US"/>
        </w:rPr>
        <w:t> </w:t>
      </w:r>
      <w:r w:rsidRPr="005D60BE">
        <w:rPr>
          <w:rFonts w:eastAsia="Times New Roman"/>
          <w:b/>
          <w:bCs/>
          <w:color w:val="000000"/>
          <w:lang w:val="ru-RU"/>
        </w:rPr>
        <w:t xml:space="preserve"> за Київським часом</w:t>
      </w:r>
      <w:r w:rsidRPr="005D60BE">
        <w:rPr>
          <w:rFonts w:eastAsia="Times New Roman"/>
          <w:color w:val="000000"/>
          <w:lang w:val="ru-RU"/>
        </w:rPr>
        <w:t xml:space="preserve"> через конференцію </w:t>
      </w:r>
      <w:r w:rsidRPr="005D60BE">
        <w:rPr>
          <w:rFonts w:eastAsia="Times New Roman"/>
          <w:color w:val="000000"/>
          <w:lang w:val="en-US"/>
        </w:rPr>
        <w:t>ZOOM</w:t>
      </w:r>
      <w:r w:rsidRPr="005D60BE">
        <w:rPr>
          <w:rFonts w:eastAsia="Times New Roman"/>
          <w:color w:val="000000"/>
          <w:lang w:val="ru-RU"/>
        </w:rPr>
        <w:t xml:space="preserve"> (посилання на засідання конференції буде надано пізніше).</w:t>
      </w:r>
    </w:p>
    <w:p w:rsidR="005D60BE" w:rsidRPr="005D60BE" w:rsidRDefault="005D60BE" w:rsidP="005D60BE">
      <w:pPr>
        <w:spacing w:after="0" w:line="240" w:lineRule="auto"/>
        <w:rPr>
          <w:rFonts w:ascii="Times New Roman" w:eastAsia="Times New Roman" w:hAnsi="Times New Roman" w:cs="Times New Roman"/>
          <w:sz w:val="24"/>
          <w:szCs w:val="24"/>
          <w:lang w:val="ru-RU"/>
        </w:rPr>
      </w:pP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ru-RU"/>
        </w:rPr>
        <w:t xml:space="preserve">У разі вашої участі в організаційній зустрічі ми просимо надіслати підтвердження з повним іменем вашого представника контактній особі </w:t>
      </w:r>
      <w:r w:rsidRPr="005D60BE">
        <w:rPr>
          <w:rFonts w:eastAsia="Times New Roman"/>
          <w:color w:val="000000"/>
          <w:lang w:val="en-US"/>
        </w:rPr>
        <w:t>UNFPA</w:t>
      </w:r>
      <w:r w:rsidRPr="005D60BE">
        <w:rPr>
          <w:rFonts w:eastAsia="Times New Roman"/>
          <w:color w:val="000000"/>
          <w:lang w:val="ru-RU"/>
        </w:rPr>
        <w:t xml:space="preserve"> до </w:t>
      </w:r>
      <w:r w:rsidRPr="005D60BE">
        <w:rPr>
          <w:rFonts w:eastAsia="Times New Roman"/>
          <w:b/>
          <w:bCs/>
          <w:color w:val="000000"/>
          <w:lang w:val="ru-RU"/>
        </w:rPr>
        <w:t xml:space="preserve">15:00 за київським часом, </w:t>
      </w:r>
      <w:r w:rsidR="002B519B" w:rsidRPr="002B519B">
        <w:rPr>
          <w:rFonts w:eastAsia="Times New Roman"/>
          <w:b/>
          <w:bCs/>
          <w:color w:val="000000"/>
          <w:lang w:val="ru-RU"/>
        </w:rPr>
        <w:t>20</w:t>
      </w:r>
      <w:r w:rsidRPr="005D60BE">
        <w:rPr>
          <w:rFonts w:eastAsia="Times New Roman"/>
          <w:b/>
          <w:bCs/>
          <w:color w:val="000000"/>
          <w:lang w:val="ru-RU"/>
        </w:rPr>
        <w:t xml:space="preserve"> </w:t>
      </w:r>
      <w:r w:rsidR="00DD4AF9" w:rsidRPr="00DD4AF9">
        <w:rPr>
          <w:rFonts w:eastAsia="Times New Roman"/>
          <w:b/>
          <w:bCs/>
          <w:color w:val="000000"/>
          <w:lang w:val="ru-RU"/>
        </w:rPr>
        <w:t>червня</w:t>
      </w:r>
      <w:r w:rsidRPr="005D60BE">
        <w:rPr>
          <w:rFonts w:eastAsia="Times New Roman"/>
          <w:b/>
          <w:bCs/>
          <w:color w:val="000000"/>
          <w:lang w:val="ru-RU"/>
        </w:rPr>
        <w:t xml:space="preserve"> 2022 року.</w:t>
      </w:r>
    </w:p>
    <w:p w:rsidR="005D60BE" w:rsidRPr="005D60BE" w:rsidRDefault="005D60BE" w:rsidP="005D60BE">
      <w:pPr>
        <w:spacing w:after="0" w:line="240" w:lineRule="auto"/>
        <w:rPr>
          <w:rFonts w:ascii="Times New Roman" w:eastAsia="Times New Roman" w:hAnsi="Times New Roman" w:cs="Times New Roman"/>
          <w:sz w:val="24"/>
          <w:szCs w:val="24"/>
          <w:lang w:val="ru-RU"/>
        </w:rPr>
      </w:pPr>
    </w:p>
    <w:p w:rsidR="005D60BE" w:rsidRPr="00DD4AF9"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en-US"/>
        </w:rPr>
        <w:t> </w:t>
      </w:r>
    </w:p>
    <w:tbl>
      <w:tblPr>
        <w:tblStyle w:val="af4"/>
        <w:tblW w:w="935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730"/>
        <w:gridCol w:w="4629"/>
      </w:tblGrid>
      <w:tr w:rsidR="005D60BE" w:rsidTr="00141A6F">
        <w:trPr>
          <w:trHeight w:val="20"/>
        </w:trPr>
        <w:tc>
          <w:tcPr>
            <w:tcW w:w="473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5D60BE" w:rsidRDefault="005D60BE" w:rsidP="00141A6F">
            <w:pPr>
              <w:shd w:val="clear" w:color="auto" w:fill="FFFFFF"/>
              <w:spacing w:after="120" w:line="240" w:lineRule="auto"/>
              <w:ind w:firstLine="720"/>
              <w:jc w:val="both"/>
              <w:rPr>
                <w:color w:val="000000"/>
                <w:highlight w:val="white"/>
              </w:rPr>
            </w:pPr>
            <w:r>
              <w:rPr>
                <w:color w:val="000000"/>
                <w:highlight w:val="white"/>
              </w:rPr>
              <w:t>Контактна особа:</w:t>
            </w:r>
          </w:p>
        </w:tc>
        <w:tc>
          <w:tcPr>
            <w:tcW w:w="4629"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rsidR="005D60BE" w:rsidRDefault="005D60BE" w:rsidP="00141A6F">
            <w:pPr>
              <w:shd w:val="clear" w:color="auto" w:fill="FFFFFF"/>
              <w:spacing w:after="120" w:line="240" w:lineRule="auto"/>
              <w:ind w:firstLine="720"/>
              <w:jc w:val="both"/>
              <w:rPr>
                <w:color w:val="000000"/>
                <w:highlight w:val="white"/>
              </w:rPr>
            </w:pPr>
            <w:r>
              <w:rPr>
                <w:color w:val="000000"/>
                <w:highlight w:val="white"/>
              </w:rPr>
              <w:t>Марина Семененко</w:t>
            </w:r>
          </w:p>
        </w:tc>
      </w:tr>
      <w:tr w:rsidR="005D60BE" w:rsidTr="00141A6F">
        <w:trPr>
          <w:trHeight w:val="262"/>
        </w:trPr>
        <w:tc>
          <w:tcPr>
            <w:tcW w:w="4730" w:type="dxa"/>
            <w:tcBorders>
              <w:top w:val="nil"/>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5D60BE" w:rsidRDefault="005D60BE" w:rsidP="00141A6F">
            <w:pPr>
              <w:shd w:val="clear" w:color="auto" w:fill="FFFFFF"/>
              <w:spacing w:after="120" w:line="240" w:lineRule="auto"/>
              <w:ind w:firstLine="720"/>
              <w:jc w:val="both"/>
              <w:rPr>
                <w:color w:val="000000"/>
                <w:highlight w:val="white"/>
              </w:rPr>
            </w:pPr>
            <w:r>
              <w:rPr>
                <w:color w:val="000000"/>
                <w:highlight w:val="white"/>
              </w:rPr>
              <w:t>Електронна адреса:</w:t>
            </w:r>
          </w:p>
        </w:tc>
        <w:tc>
          <w:tcPr>
            <w:tcW w:w="4629" w:type="dxa"/>
            <w:tcBorders>
              <w:top w:val="nil"/>
              <w:left w:val="nil"/>
              <w:bottom w:val="single" w:sz="8" w:space="0" w:color="D9D9D9"/>
              <w:right w:val="single" w:sz="8" w:space="0" w:color="D9D9D9"/>
            </w:tcBorders>
            <w:tcMar>
              <w:top w:w="100" w:type="dxa"/>
              <w:left w:w="100" w:type="dxa"/>
              <w:bottom w:w="100" w:type="dxa"/>
              <w:right w:w="100" w:type="dxa"/>
            </w:tcMar>
            <w:vAlign w:val="center"/>
          </w:tcPr>
          <w:p w:rsidR="005D60BE" w:rsidRDefault="005D60BE" w:rsidP="00141A6F">
            <w:pPr>
              <w:shd w:val="clear" w:color="auto" w:fill="FFFFFF"/>
              <w:spacing w:after="120" w:line="240" w:lineRule="auto"/>
              <w:ind w:firstLine="720"/>
              <w:rPr>
                <w:color w:val="000000"/>
                <w:highlight w:val="white"/>
              </w:rPr>
            </w:pPr>
            <w:r>
              <w:rPr>
                <w:color w:val="0070C0"/>
                <w:highlight w:val="white"/>
              </w:rPr>
              <w:t>semenenko@unfpa.org</w:t>
            </w:r>
          </w:p>
        </w:tc>
      </w:tr>
    </w:tbl>
    <w:p w:rsidR="005D60BE" w:rsidRPr="005D60BE" w:rsidRDefault="005D60BE" w:rsidP="005D60BE">
      <w:pPr>
        <w:spacing w:after="0" w:line="240" w:lineRule="auto"/>
        <w:jc w:val="both"/>
        <w:rPr>
          <w:rFonts w:ascii="Times New Roman" w:eastAsia="Times New Roman" w:hAnsi="Times New Roman" w:cs="Times New Roman"/>
          <w:sz w:val="24"/>
          <w:szCs w:val="24"/>
          <w:lang w:val="en-US"/>
        </w:rPr>
      </w:pP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ru-RU"/>
        </w:rPr>
        <w:t xml:space="preserve">Якщо ви не можете взяти участь у дискусії, надішліть свої запитання та запити контактній особі </w:t>
      </w:r>
      <w:r w:rsidRPr="005D60BE">
        <w:rPr>
          <w:rFonts w:eastAsia="Times New Roman"/>
          <w:color w:val="000000"/>
          <w:lang w:val="en-US"/>
        </w:rPr>
        <w:t>UNFPA </w:t>
      </w: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ru-RU"/>
        </w:rPr>
        <w:t>(див. Контакти у таблиці вище).</w:t>
      </w: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en-US"/>
        </w:rPr>
        <w:t> </w:t>
      </w: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ru-RU"/>
        </w:rPr>
        <w:t>На питання буде надіслано відповідь в письмовій формі. Відповіді будуть розіслані серед усіх зацікавлених сторін якнайшвидше.</w:t>
      </w:r>
    </w:p>
    <w:p w:rsidR="005D60BE" w:rsidRPr="005D60BE" w:rsidRDefault="005D60BE" w:rsidP="005D60BE">
      <w:pPr>
        <w:spacing w:after="0" w:line="240" w:lineRule="auto"/>
        <w:rPr>
          <w:rFonts w:ascii="Times New Roman" w:eastAsia="Times New Roman" w:hAnsi="Times New Roman" w:cs="Times New Roman"/>
          <w:sz w:val="24"/>
          <w:szCs w:val="24"/>
          <w:lang w:val="ru-RU"/>
        </w:rPr>
      </w:pPr>
    </w:p>
    <w:p w:rsidR="005D60BE" w:rsidRPr="005D60BE" w:rsidRDefault="005D60BE" w:rsidP="005D60BE">
      <w:pPr>
        <w:spacing w:after="0" w:line="240" w:lineRule="auto"/>
        <w:jc w:val="both"/>
        <w:rPr>
          <w:rFonts w:ascii="Times New Roman" w:eastAsia="Times New Roman" w:hAnsi="Times New Roman" w:cs="Times New Roman"/>
          <w:sz w:val="24"/>
          <w:szCs w:val="24"/>
          <w:lang w:val="ru-RU"/>
        </w:rPr>
      </w:pPr>
      <w:r w:rsidRPr="005D60BE">
        <w:rPr>
          <w:rFonts w:eastAsia="Times New Roman"/>
          <w:color w:val="000000"/>
          <w:lang w:val="ru-RU"/>
        </w:rPr>
        <w:t xml:space="preserve">Кінцевий термін подання питань - </w:t>
      </w:r>
      <w:r w:rsidR="002B519B">
        <w:rPr>
          <w:rFonts w:eastAsia="Times New Roman"/>
          <w:b/>
          <w:bCs/>
          <w:color w:val="000000"/>
          <w:lang w:val="ru-RU"/>
        </w:rPr>
        <w:t>четвер</w:t>
      </w:r>
      <w:r w:rsidRPr="005D60BE">
        <w:rPr>
          <w:rFonts w:eastAsia="Times New Roman"/>
          <w:b/>
          <w:bCs/>
          <w:color w:val="000000"/>
          <w:lang w:val="ru-RU"/>
        </w:rPr>
        <w:t xml:space="preserve">, </w:t>
      </w:r>
      <w:r w:rsidR="002B519B">
        <w:rPr>
          <w:rFonts w:eastAsia="Times New Roman"/>
          <w:b/>
          <w:bCs/>
          <w:color w:val="000000"/>
          <w:lang w:val="ru-RU"/>
        </w:rPr>
        <w:t>23</w:t>
      </w:r>
      <w:r w:rsidRPr="005D60BE">
        <w:rPr>
          <w:rFonts w:eastAsia="Times New Roman"/>
          <w:b/>
          <w:bCs/>
          <w:color w:val="000000"/>
          <w:lang w:val="ru-RU"/>
        </w:rPr>
        <w:t xml:space="preserve"> </w:t>
      </w:r>
      <w:r w:rsidR="00DD4AF9" w:rsidRPr="00DD4AF9">
        <w:rPr>
          <w:rFonts w:eastAsia="Times New Roman"/>
          <w:b/>
          <w:bCs/>
          <w:color w:val="000000"/>
          <w:lang w:val="ru-RU"/>
        </w:rPr>
        <w:t>червня</w:t>
      </w:r>
      <w:r w:rsidRPr="005D60BE">
        <w:rPr>
          <w:rFonts w:eastAsia="Times New Roman"/>
          <w:b/>
          <w:bCs/>
          <w:color w:val="000000"/>
          <w:lang w:val="ru-RU"/>
        </w:rPr>
        <w:t>, 2022, 17:00 год</w:t>
      </w:r>
      <w:r w:rsidRPr="005D60BE">
        <w:rPr>
          <w:rFonts w:eastAsia="Times New Roman"/>
          <w:b/>
          <w:bCs/>
          <w:color w:val="000000"/>
          <w:lang w:val="en-US"/>
        </w:rPr>
        <w:t> </w:t>
      </w:r>
      <w:r w:rsidRPr="005D60BE">
        <w:rPr>
          <w:rFonts w:eastAsia="Times New Roman"/>
          <w:b/>
          <w:bCs/>
          <w:color w:val="000000"/>
          <w:lang w:val="ru-RU"/>
        </w:rPr>
        <w:t xml:space="preserve"> за Київським часом</w:t>
      </w:r>
      <w:r w:rsidRPr="005D60BE">
        <w:rPr>
          <w:rFonts w:eastAsia="Times New Roman"/>
          <w:color w:val="000000"/>
          <w:lang w:val="ru-RU"/>
        </w:rPr>
        <w:t>.</w:t>
      </w:r>
    </w:p>
    <w:p w:rsidR="00477D06" w:rsidRDefault="00477D06">
      <w:pPr>
        <w:spacing w:after="0" w:line="240" w:lineRule="auto"/>
        <w:jc w:val="both"/>
        <w:rPr>
          <w:b/>
        </w:rPr>
      </w:pPr>
    </w:p>
    <w:p w:rsidR="00477D06" w:rsidRDefault="00477D06">
      <w:pPr>
        <w:spacing w:after="0" w:line="240" w:lineRule="auto"/>
        <w:jc w:val="both"/>
        <w:rPr>
          <w:b/>
        </w:rPr>
      </w:pPr>
    </w:p>
    <w:p w:rsidR="00477D06" w:rsidRDefault="00A372AF">
      <w:pPr>
        <w:rPr>
          <w:b/>
        </w:rPr>
      </w:pPr>
      <w:r>
        <w:rPr>
          <w:b/>
        </w:rPr>
        <w:t>III. Зміст пропозицій</w:t>
      </w:r>
    </w:p>
    <w:p w:rsidR="00477D06" w:rsidRDefault="00A372AF">
      <w:pPr>
        <w:spacing w:after="0"/>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477D06" w:rsidRDefault="00A372AF">
      <w:pPr>
        <w:spacing w:after="0"/>
        <w:jc w:val="both"/>
      </w:pPr>
      <w:r>
        <w:t xml:space="preserve"> </w:t>
      </w:r>
    </w:p>
    <w:p w:rsidR="00477D06" w:rsidRDefault="00A372AF">
      <w:pPr>
        <w:spacing w:after="0"/>
        <w:jc w:val="both"/>
      </w:pPr>
      <w:r>
        <w:t>а) Технічну пропозицію, що повинна містити презентацію, яка дозволить оцінити підхід спеціаліста (-ки) / агентства за критеріями, що подані нижче. Зокрема, презентація має містити:</w:t>
      </w:r>
    </w:p>
    <w:p w:rsidR="00477D06" w:rsidRDefault="00A372AF">
      <w:pPr>
        <w:numPr>
          <w:ilvl w:val="0"/>
          <w:numId w:val="2"/>
        </w:numPr>
        <w:spacing w:after="0"/>
        <w:jc w:val="both"/>
      </w:pPr>
      <w:r>
        <w:t>Бачення, ідеї, творчий підхід, відповідність ТЗ зі створення курсу по блогінгу для молоді (у тому числі бачення записаних роликів)</w:t>
      </w:r>
    </w:p>
    <w:p w:rsidR="00477D06" w:rsidRDefault="00A372AF">
      <w:pPr>
        <w:numPr>
          <w:ilvl w:val="0"/>
          <w:numId w:val="2"/>
        </w:numPr>
        <w:spacing w:after="0"/>
        <w:jc w:val="both"/>
      </w:pPr>
      <w:r>
        <w:t>Бачення промо- та медіа-кампанії</w:t>
      </w:r>
    </w:p>
    <w:p w:rsidR="00477D06" w:rsidRDefault="00A372AF">
      <w:pPr>
        <w:numPr>
          <w:ilvl w:val="0"/>
          <w:numId w:val="2"/>
        </w:numPr>
        <w:spacing w:after="0"/>
        <w:jc w:val="both"/>
      </w:pPr>
      <w:r>
        <w:t>Досвід роботи агентства та ключових співробітників у соціальних кампаніях. Портфоліо.</w:t>
      </w:r>
    </w:p>
    <w:p w:rsidR="00477D06" w:rsidRDefault="00A372AF">
      <w:pPr>
        <w:numPr>
          <w:ilvl w:val="0"/>
          <w:numId w:val="2"/>
        </w:numPr>
        <w:spacing w:after="0"/>
        <w:jc w:val="both"/>
      </w:pPr>
      <w:r>
        <w:t>Досвід співпраці з агенціями ООН.</w:t>
      </w:r>
    </w:p>
    <w:p w:rsidR="00477D06" w:rsidRDefault="00477D06">
      <w:pPr>
        <w:spacing w:after="0"/>
        <w:jc w:val="both"/>
        <w:rPr>
          <w:highlight w:val="yellow"/>
        </w:rPr>
      </w:pPr>
    </w:p>
    <w:p w:rsidR="00477D06" w:rsidRDefault="00477D06">
      <w:pPr>
        <w:spacing w:after="0"/>
        <w:jc w:val="both"/>
      </w:pPr>
    </w:p>
    <w:p w:rsidR="00477D06" w:rsidRDefault="00A372AF">
      <w:pPr>
        <w:spacing w:after="0"/>
        <w:jc w:val="both"/>
        <w:rPr>
          <w:b/>
        </w:rPr>
      </w:pPr>
      <w:r>
        <w:rPr>
          <w:b/>
        </w:rPr>
        <w:t xml:space="preserve"> Технічна пропозиція має бути подана в електронному вигляді на пошту, сказану у розділі IV.</w:t>
      </w:r>
    </w:p>
    <w:p w:rsidR="00477D06" w:rsidRDefault="00A372AF">
      <w:pPr>
        <w:spacing w:after="0"/>
        <w:jc w:val="both"/>
      </w:pPr>
      <w:r>
        <w:t>б) Подану виключно згідно відповідного бланку цінову пропозицію.</w:t>
      </w:r>
    </w:p>
    <w:p w:rsidR="00477D06" w:rsidRDefault="00A372AF">
      <w:pPr>
        <w:spacing w:after="0"/>
        <w:jc w:val="both"/>
      </w:pPr>
      <w:r>
        <w:t>Мова пропозиції англійська або українська.</w:t>
      </w:r>
    </w:p>
    <w:p w:rsidR="00477D06" w:rsidRDefault="00A372AF">
      <w:pPr>
        <w:spacing w:after="0"/>
        <w:jc w:val="both"/>
        <w:rPr>
          <w:b/>
          <w:color w:val="000000"/>
        </w:rPr>
      </w:pPr>
      <w:r>
        <w:rPr>
          <w:b/>
          <w:color w:val="000000"/>
        </w:rPr>
        <w:t>Технічна та цінова пропозиція мають бути надіслані окремими файлами та бути підписані відповідним керівником компанії та надіслані у форматі PDF.</w:t>
      </w:r>
    </w:p>
    <w:p w:rsidR="00477D06" w:rsidRDefault="00477D06">
      <w:pPr>
        <w:spacing w:after="0"/>
        <w:jc w:val="both"/>
        <w:rPr>
          <w:b/>
        </w:rPr>
      </w:pPr>
    </w:p>
    <w:p w:rsidR="00477D06" w:rsidRDefault="00477D06">
      <w:pPr>
        <w:tabs>
          <w:tab w:val="left" w:pos="6630"/>
          <w:tab w:val="left" w:pos="9120"/>
        </w:tabs>
        <w:spacing w:after="0" w:line="240" w:lineRule="auto"/>
      </w:pPr>
    </w:p>
    <w:p w:rsidR="00477D06" w:rsidRDefault="00A372AF">
      <w:pPr>
        <w:rPr>
          <w:b/>
        </w:rPr>
      </w:pPr>
      <w:r>
        <w:rPr>
          <w:b/>
        </w:rPr>
        <w:t>IV. Інструкції для подання</w:t>
      </w:r>
    </w:p>
    <w:p w:rsidR="00477D06" w:rsidRDefault="00A372A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t>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w:t>
      </w:r>
      <w:r w:rsidR="00DD4AF9">
        <w:rPr>
          <w:b/>
        </w:rPr>
        <w:t>вівторок</w:t>
      </w:r>
      <w:r>
        <w:rPr>
          <w:b/>
        </w:rPr>
        <w:t>, 2</w:t>
      </w:r>
      <w:r w:rsidR="00DD4AF9">
        <w:rPr>
          <w:b/>
        </w:rPr>
        <w:t>8</w:t>
      </w:r>
      <w:r>
        <w:rPr>
          <w:b/>
        </w:rPr>
        <w:t xml:space="preserve"> червня 2022, 17:00 за Київським часом. </w:t>
      </w:r>
      <w:r>
        <w:t>Пропозиції надіслані на будь-яку іншу електронну пошту не будуть прийняті до розгляду.</w:t>
      </w:r>
    </w:p>
    <w:tbl>
      <w:tblPr>
        <w:tblStyle w:val="af5"/>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77D06">
        <w:trPr>
          <w:jc w:val="center"/>
        </w:trPr>
        <w:tc>
          <w:tcPr>
            <w:tcW w:w="3510" w:type="dxa"/>
            <w:shd w:val="clear" w:color="auto" w:fill="auto"/>
            <w:vAlign w:val="center"/>
          </w:tcPr>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Контактна особа:</w:t>
            </w:r>
          </w:p>
        </w:tc>
        <w:tc>
          <w:tcPr>
            <w:tcW w:w="5012" w:type="dxa"/>
            <w:shd w:val="clear" w:color="auto" w:fill="auto"/>
          </w:tcPr>
          <w:p w:rsidR="00477D06" w:rsidRDefault="00A372AF">
            <w:r>
              <w:rPr>
                <w:i/>
              </w:rPr>
              <w:t>Ірина Богун</w:t>
            </w:r>
          </w:p>
        </w:tc>
      </w:tr>
      <w:tr w:rsidR="00477D06">
        <w:trPr>
          <w:jc w:val="center"/>
        </w:trPr>
        <w:tc>
          <w:tcPr>
            <w:tcW w:w="3510" w:type="dxa"/>
            <w:shd w:val="clear" w:color="auto" w:fill="auto"/>
            <w:vAlign w:val="center"/>
          </w:tcPr>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Електронна адреса:</w:t>
            </w:r>
          </w:p>
        </w:tc>
        <w:tc>
          <w:tcPr>
            <w:tcW w:w="5012" w:type="dxa"/>
            <w:shd w:val="clear" w:color="auto" w:fill="auto"/>
          </w:tcPr>
          <w:p w:rsidR="00477D06" w:rsidRDefault="00A372AF">
            <w:pPr>
              <w:rPr>
                <w:b/>
              </w:rPr>
            </w:pPr>
            <w:r>
              <w:rPr>
                <w:b/>
              </w:rPr>
              <w:t>ua-procurement@unfpa.org</w:t>
            </w:r>
          </w:p>
        </w:tc>
      </w:tr>
    </w:tbl>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color w:val="000000"/>
        </w:rPr>
        <w:t>Зверніть увагу на наступні інструкції щодо електронного подання:</w:t>
      </w: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Тема повідомлення має включати таке посилання: RFQ Nº UNFPA/UKR/RFQ/22/15</w:t>
      </w:r>
    </w:p>
    <w:p w:rsidR="00477D06" w:rsidRDefault="00A372AF">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що містять невірно вказану тему повідомлення можуть бути пропущені адміністратором та, таким чином, не потрапити до розгляду.</w:t>
      </w:r>
    </w:p>
    <w:p w:rsidR="00477D06" w:rsidRDefault="00A372AF">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477D06" w:rsidRDefault="00477D06">
      <w:pPr>
        <w:spacing w:after="0" w:line="240" w:lineRule="auto"/>
        <w:jc w:val="both"/>
        <w:rPr>
          <w:b/>
        </w:rPr>
      </w:pPr>
    </w:p>
    <w:p w:rsidR="00477D06" w:rsidRDefault="00A372AF">
      <w:pPr>
        <w:spacing w:after="0" w:line="240" w:lineRule="auto"/>
        <w:jc w:val="both"/>
        <w:rPr>
          <w:b/>
        </w:rPr>
      </w:pPr>
      <w:r>
        <w:rPr>
          <w:b/>
        </w:rPr>
        <w:t>V. Оцінка пропозицій</w:t>
      </w:r>
    </w:p>
    <w:p w:rsidR="00477D06" w:rsidRDefault="00A372AF">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477D06" w:rsidRDefault="00477D06">
      <w:pPr>
        <w:spacing w:after="0" w:line="240" w:lineRule="auto"/>
        <w:jc w:val="both"/>
      </w:pPr>
    </w:p>
    <w:p w:rsidR="00477D06" w:rsidRDefault="00A372AF">
      <w:pPr>
        <w:jc w:val="both"/>
        <w:rPr>
          <w:b/>
        </w:rPr>
      </w:pPr>
      <w:r>
        <w:rPr>
          <w:b/>
        </w:rPr>
        <w:t>Teхнічна оцінка (максимально 100 балів)</w:t>
      </w: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Технічні пропозиції будуть оцінені згідно з умовами, вказаними в розділі про вимоги до надання послуг/ Розділ II Технічного завдання, та відповідно до критеріїв оцінки, що подані нижче.</w:t>
      </w:r>
    </w:p>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6"/>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5"/>
        <w:gridCol w:w="1517"/>
        <w:gridCol w:w="1286"/>
        <w:gridCol w:w="1014"/>
        <w:gridCol w:w="2531"/>
      </w:tblGrid>
      <w:tr w:rsidR="00477D06">
        <w:trPr>
          <w:jc w:val="center"/>
        </w:trPr>
        <w:tc>
          <w:tcPr>
            <w:tcW w:w="3275"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77D06" w:rsidRDefault="00A372AF">
            <w:pPr>
              <w:jc w:val="center"/>
            </w:pPr>
            <w:r>
              <w:rPr>
                <w:b/>
                <w:color w:val="FFFFFF"/>
              </w:rPr>
              <w:t>Критерії</w:t>
            </w:r>
          </w:p>
        </w:tc>
        <w:tc>
          <w:tcPr>
            <w:tcW w:w="1517"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77D06" w:rsidRDefault="00A372AF">
            <w:pPr>
              <w:spacing w:before="60" w:after="60"/>
              <w:jc w:val="center"/>
            </w:pPr>
            <w:r>
              <w:rPr>
                <w:color w:val="FFFFFF"/>
              </w:rPr>
              <w:t>[A] Максимальна кількість балів</w:t>
            </w:r>
          </w:p>
        </w:tc>
        <w:tc>
          <w:tcPr>
            <w:tcW w:w="1286"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77D06" w:rsidRDefault="00A372AF">
            <w:pPr>
              <w:spacing w:before="60" w:after="60"/>
              <w:jc w:val="center"/>
              <w:rPr>
                <w:color w:val="FFFFFF"/>
              </w:rPr>
            </w:pPr>
            <w:r>
              <w:rPr>
                <w:color w:val="FFFFFF"/>
              </w:rPr>
              <w:t>[B]</w:t>
            </w:r>
          </w:p>
          <w:p w:rsidR="00477D06" w:rsidRDefault="00A372AF">
            <w:pPr>
              <w:spacing w:before="60" w:after="60"/>
              <w:jc w:val="center"/>
            </w:pPr>
            <w:r>
              <w:rPr>
                <w:color w:val="FFFFFF"/>
              </w:rPr>
              <w:t>Отримані бали</w:t>
            </w:r>
          </w:p>
        </w:tc>
        <w:tc>
          <w:tcPr>
            <w:tcW w:w="101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77D06" w:rsidRDefault="00A372AF">
            <w:pPr>
              <w:spacing w:before="60" w:after="60"/>
              <w:jc w:val="center"/>
              <w:rPr>
                <w:color w:val="FFFFFF"/>
              </w:rPr>
            </w:pPr>
            <w:r>
              <w:rPr>
                <w:color w:val="FFFFFF"/>
              </w:rPr>
              <w:t>[C]</w:t>
            </w:r>
          </w:p>
          <w:p w:rsidR="00477D06" w:rsidRDefault="00A372AF">
            <w:pPr>
              <w:spacing w:before="60" w:after="60"/>
              <w:jc w:val="center"/>
            </w:pPr>
            <w:r>
              <w:rPr>
                <w:color w:val="FFFFFF"/>
              </w:rPr>
              <w:t>Вага (%)</w:t>
            </w:r>
          </w:p>
        </w:tc>
        <w:tc>
          <w:tcPr>
            <w:tcW w:w="2531"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77D06" w:rsidRDefault="00A372AF">
            <w:pPr>
              <w:spacing w:before="60" w:after="60"/>
              <w:jc w:val="center"/>
              <w:rPr>
                <w:color w:val="FFFFFF"/>
              </w:rPr>
            </w:pPr>
            <w:r>
              <w:rPr>
                <w:color w:val="FFFFFF"/>
              </w:rPr>
              <w:t>[B] x [C] = [D]</w:t>
            </w:r>
          </w:p>
          <w:p w:rsidR="00477D06" w:rsidRDefault="00A372AF">
            <w:pPr>
              <w:spacing w:before="60" w:after="60"/>
              <w:jc w:val="center"/>
            </w:pPr>
            <w:r>
              <w:rPr>
                <w:color w:val="FFFFFF"/>
              </w:rPr>
              <w:t>Загальна кількість балів</w:t>
            </w:r>
          </w:p>
        </w:tc>
      </w:tr>
      <w:tr w:rsidR="00477D06">
        <w:trPr>
          <w:jc w:val="center"/>
        </w:trPr>
        <w:tc>
          <w:tcPr>
            <w:tcW w:w="32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line="280" w:lineRule="auto"/>
              <w:jc w:val="both"/>
            </w:pPr>
            <w:r>
              <w:t>Бачення, ідеї, творчий підхід, відповідність ТЗ зі створення курсу по блогінгу для молоді (у тому числі бачення записаних роликів)</w:t>
            </w:r>
          </w:p>
        </w:tc>
        <w:tc>
          <w:tcPr>
            <w:tcW w:w="151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100</w:t>
            </w:r>
          </w:p>
        </w:tc>
        <w:tc>
          <w:tcPr>
            <w:tcW w:w="128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pPr>
            <w:r>
              <w:t xml:space="preserve"> </w:t>
            </w:r>
          </w:p>
        </w:tc>
        <w:tc>
          <w:tcPr>
            <w:tcW w:w="101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55%</w:t>
            </w:r>
          </w:p>
        </w:tc>
        <w:tc>
          <w:tcPr>
            <w:tcW w:w="253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 xml:space="preserve"> </w:t>
            </w:r>
          </w:p>
        </w:tc>
      </w:tr>
      <w:tr w:rsidR="00477D06">
        <w:trPr>
          <w:jc w:val="center"/>
        </w:trPr>
        <w:tc>
          <w:tcPr>
            <w:tcW w:w="32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line="280" w:lineRule="auto"/>
              <w:jc w:val="both"/>
              <w:rPr>
                <w:highlight w:val="white"/>
              </w:rPr>
            </w:pPr>
            <w:r>
              <w:t>Бачення промо- та медіа-кампанії</w:t>
            </w:r>
          </w:p>
        </w:tc>
        <w:tc>
          <w:tcPr>
            <w:tcW w:w="151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100</w:t>
            </w:r>
          </w:p>
        </w:tc>
        <w:tc>
          <w:tcPr>
            <w:tcW w:w="128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pPr>
            <w:r>
              <w:t xml:space="preserve"> </w:t>
            </w:r>
          </w:p>
        </w:tc>
        <w:tc>
          <w:tcPr>
            <w:tcW w:w="101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25%</w:t>
            </w:r>
          </w:p>
        </w:tc>
        <w:tc>
          <w:tcPr>
            <w:tcW w:w="253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 xml:space="preserve"> </w:t>
            </w:r>
          </w:p>
        </w:tc>
      </w:tr>
      <w:tr w:rsidR="00477D06">
        <w:trPr>
          <w:jc w:val="center"/>
        </w:trPr>
        <w:tc>
          <w:tcPr>
            <w:tcW w:w="32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line="280" w:lineRule="auto"/>
              <w:jc w:val="both"/>
            </w:pPr>
            <w:r>
              <w:t>Досвід роботи агентства та ключових співробітників у соціальних кампаніях. Портфоліо.</w:t>
            </w:r>
          </w:p>
        </w:tc>
        <w:tc>
          <w:tcPr>
            <w:tcW w:w="151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100</w:t>
            </w:r>
          </w:p>
        </w:tc>
        <w:tc>
          <w:tcPr>
            <w:tcW w:w="128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pPr>
            <w:r>
              <w:t xml:space="preserve"> </w:t>
            </w:r>
          </w:p>
        </w:tc>
        <w:tc>
          <w:tcPr>
            <w:tcW w:w="101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15%</w:t>
            </w:r>
          </w:p>
        </w:tc>
        <w:tc>
          <w:tcPr>
            <w:tcW w:w="253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 xml:space="preserve"> </w:t>
            </w:r>
          </w:p>
        </w:tc>
      </w:tr>
      <w:tr w:rsidR="00477D06">
        <w:trPr>
          <w:jc w:val="center"/>
        </w:trPr>
        <w:tc>
          <w:tcPr>
            <w:tcW w:w="32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line="280" w:lineRule="auto"/>
              <w:jc w:val="both"/>
            </w:pPr>
            <w:r>
              <w:t>Досвід співпраці з агенціями ООН.</w:t>
            </w:r>
          </w:p>
        </w:tc>
        <w:tc>
          <w:tcPr>
            <w:tcW w:w="151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100</w:t>
            </w:r>
          </w:p>
        </w:tc>
        <w:tc>
          <w:tcPr>
            <w:tcW w:w="128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pPr>
            <w:r>
              <w:t xml:space="preserve"> </w:t>
            </w:r>
          </w:p>
        </w:tc>
        <w:tc>
          <w:tcPr>
            <w:tcW w:w="101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5%</w:t>
            </w:r>
          </w:p>
        </w:tc>
        <w:tc>
          <w:tcPr>
            <w:tcW w:w="253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77D06" w:rsidRDefault="00A372AF">
            <w:pPr>
              <w:spacing w:before="60" w:after="60"/>
              <w:jc w:val="center"/>
            </w:pPr>
            <w:r>
              <w:t xml:space="preserve"> </w:t>
            </w:r>
          </w:p>
        </w:tc>
      </w:tr>
      <w:tr w:rsidR="00477D06">
        <w:trPr>
          <w:jc w:val="center"/>
        </w:trPr>
        <w:tc>
          <w:tcPr>
            <w:tcW w:w="3275"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77D06" w:rsidRDefault="00A372AF">
            <w:pPr>
              <w:spacing w:before="60" w:after="60"/>
              <w:jc w:val="right"/>
            </w:pPr>
            <w:bookmarkStart w:id="2" w:name="_heading=h.30j0zll" w:colFirst="0" w:colLast="0"/>
            <w:bookmarkEnd w:id="2"/>
            <w:r>
              <w:rPr>
                <w:b/>
                <w:i/>
              </w:rPr>
              <w:t>Загальна сума</w:t>
            </w:r>
          </w:p>
        </w:tc>
        <w:tc>
          <w:tcPr>
            <w:tcW w:w="1517"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77D06" w:rsidRDefault="00A372AF">
            <w:pPr>
              <w:spacing w:before="60" w:after="60"/>
              <w:jc w:val="center"/>
            </w:pPr>
            <w:r>
              <w:rPr>
                <w:b/>
              </w:rPr>
              <w:t>400</w:t>
            </w:r>
          </w:p>
        </w:tc>
        <w:tc>
          <w:tcPr>
            <w:tcW w:w="128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77D06" w:rsidRDefault="00477D06">
            <w:pPr>
              <w:spacing w:before="60" w:after="60"/>
            </w:pPr>
          </w:p>
        </w:tc>
        <w:tc>
          <w:tcPr>
            <w:tcW w:w="101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77D06" w:rsidRDefault="00A372AF">
            <w:pPr>
              <w:spacing w:before="60" w:after="60"/>
              <w:jc w:val="center"/>
            </w:pPr>
            <w:r>
              <w:rPr>
                <w:b/>
              </w:rPr>
              <w:t>100%</w:t>
            </w:r>
          </w:p>
        </w:tc>
        <w:tc>
          <w:tcPr>
            <w:tcW w:w="253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77D06" w:rsidRDefault="00477D06">
            <w:pPr>
              <w:spacing w:before="60" w:after="60"/>
              <w:jc w:val="center"/>
            </w:pPr>
          </w:p>
        </w:tc>
      </w:tr>
    </w:tbl>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77D06" w:rsidRDefault="00A372AF">
      <w:r>
        <w:t>Наступна шкала оцінювання буде використана для забезпечення об'єктивної оцінки:</w:t>
      </w:r>
    </w:p>
    <w:tbl>
      <w:tblPr>
        <w:tblStyle w:val="af7"/>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477D06">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77D06" w:rsidRDefault="00A372AF">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77D06" w:rsidRDefault="00A372AF">
            <w:pPr>
              <w:jc w:val="center"/>
            </w:pPr>
            <w:r>
              <w:t>Бали зі 100</w:t>
            </w:r>
          </w:p>
        </w:tc>
      </w:tr>
      <w:tr w:rsidR="00477D06">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pPr>
              <w:jc w:val="center"/>
            </w:pPr>
            <w:r>
              <w:t>90 – 100</w:t>
            </w:r>
          </w:p>
        </w:tc>
      </w:tr>
      <w:tr w:rsidR="00477D06">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pPr>
              <w:jc w:val="center"/>
            </w:pPr>
            <w:r>
              <w:t xml:space="preserve">80 – 89 </w:t>
            </w:r>
          </w:p>
        </w:tc>
      </w:tr>
      <w:tr w:rsidR="00477D06">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pPr>
              <w:jc w:val="center"/>
            </w:pPr>
            <w:r>
              <w:t>70 – 79</w:t>
            </w:r>
          </w:p>
        </w:tc>
      </w:tr>
      <w:tr w:rsidR="00477D06">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7D06" w:rsidRDefault="00A372AF">
            <w:pPr>
              <w:jc w:val="center"/>
            </w:pPr>
            <w:r>
              <w:t>до 70</w:t>
            </w:r>
          </w:p>
        </w:tc>
      </w:tr>
    </w:tbl>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lastRenderedPageBreak/>
        <w:t>Фінансова оцінка (максимально 100 балів)</w:t>
      </w: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477D06" w:rsidRDefault="00477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8"/>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4"/>
        <w:gridCol w:w="2325"/>
        <w:gridCol w:w="3768"/>
      </w:tblGrid>
      <w:tr w:rsidR="00477D06">
        <w:trPr>
          <w:trHeight w:val="300"/>
          <w:jc w:val="center"/>
        </w:trPr>
        <w:tc>
          <w:tcPr>
            <w:tcW w:w="2124" w:type="dxa"/>
            <w:vMerge w:val="restart"/>
            <w:vAlign w:val="center"/>
          </w:tcPr>
          <w:p w:rsidR="00477D06" w:rsidRDefault="00A372AF">
            <w:pPr>
              <w:tabs>
                <w:tab w:val="left" w:pos="-1080"/>
              </w:tabs>
              <w:jc w:val="both"/>
            </w:pPr>
            <w:r>
              <w:t>Фінансова оцінка =</w:t>
            </w:r>
          </w:p>
        </w:tc>
        <w:tc>
          <w:tcPr>
            <w:tcW w:w="2325" w:type="dxa"/>
          </w:tcPr>
          <w:p w:rsidR="00477D06" w:rsidRDefault="00A372AF">
            <w:pPr>
              <w:tabs>
                <w:tab w:val="left" w:pos="-1080"/>
              </w:tabs>
              <w:jc w:val="center"/>
            </w:pPr>
            <w:r>
              <w:t>Найнижча подана ціна ($)</w:t>
            </w:r>
          </w:p>
        </w:tc>
        <w:tc>
          <w:tcPr>
            <w:tcW w:w="3768" w:type="dxa"/>
            <w:vMerge w:val="restart"/>
            <w:vAlign w:val="center"/>
          </w:tcPr>
          <w:p w:rsidR="00477D06" w:rsidRDefault="00A372AF">
            <w:pPr>
              <w:tabs>
                <w:tab w:val="left" w:pos="-1080"/>
              </w:tabs>
              <w:jc w:val="both"/>
            </w:pPr>
            <w:r>
              <w:t>X 100 (Максимальна кількість балів)</w:t>
            </w:r>
          </w:p>
        </w:tc>
      </w:tr>
      <w:tr w:rsidR="00477D06">
        <w:trPr>
          <w:trHeight w:val="610"/>
          <w:jc w:val="center"/>
        </w:trPr>
        <w:tc>
          <w:tcPr>
            <w:tcW w:w="2124" w:type="dxa"/>
            <w:vMerge/>
            <w:vAlign w:val="center"/>
          </w:tcPr>
          <w:p w:rsidR="00477D06" w:rsidRDefault="00477D06">
            <w:pPr>
              <w:widowControl w:val="0"/>
              <w:pBdr>
                <w:top w:val="nil"/>
                <w:left w:val="nil"/>
                <w:bottom w:val="nil"/>
                <w:right w:val="nil"/>
                <w:between w:val="nil"/>
              </w:pBdr>
              <w:spacing w:line="276" w:lineRule="auto"/>
            </w:pPr>
          </w:p>
        </w:tc>
        <w:tc>
          <w:tcPr>
            <w:tcW w:w="2325" w:type="dxa"/>
          </w:tcPr>
          <w:p w:rsidR="00477D06" w:rsidRDefault="00A372AF">
            <w:pPr>
              <w:tabs>
                <w:tab w:val="left" w:pos="-1080"/>
              </w:tabs>
              <w:jc w:val="center"/>
            </w:pPr>
            <w:r>
              <w:t>Цінова пропозиція, яка оцінюється ($)</w:t>
            </w:r>
          </w:p>
        </w:tc>
        <w:tc>
          <w:tcPr>
            <w:tcW w:w="3768" w:type="dxa"/>
            <w:vMerge/>
            <w:vAlign w:val="center"/>
          </w:tcPr>
          <w:p w:rsidR="00477D06" w:rsidRDefault="00477D06">
            <w:pPr>
              <w:widowControl w:val="0"/>
              <w:pBdr>
                <w:top w:val="nil"/>
                <w:left w:val="nil"/>
                <w:bottom w:val="nil"/>
                <w:right w:val="nil"/>
                <w:between w:val="nil"/>
              </w:pBdr>
              <w:spacing w:line="276" w:lineRule="auto"/>
            </w:pPr>
          </w:p>
        </w:tc>
      </w:tr>
    </w:tbl>
    <w:p w:rsidR="00477D06" w:rsidRDefault="00A372AF">
      <w:pPr>
        <w:pStyle w:val="Heading2"/>
        <w:keepLines/>
        <w:spacing w:before="200"/>
        <w:jc w:val="left"/>
        <w:rPr>
          <w:rFonts w:ascii="Calibri" w:eastAsia="Calibri" w:hAnsi="Calibri" w:cs="Calibri"/>
        </w:rPr>
      </w:pPr>
      <w:r>
        <w:rPr>
          <w:rFonts w:ascii="Calibri" w:eastAsia="Calibri" w:hAnsi="Calibri" w:cs="Calibri"/>
        </w:rPr>
        <w:t>Загальний бал</w:t>
      </w:r>
    </w:p>
    <w:p w:rsidR="00477D06" w:rsidRDefault="00A372AF">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f9"/>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477D06">
        <w:trPr>
          <w:trHeight w:val="540"/>
          <w:jc w:val="center"/>
        </w:trPr>
        <w:tc>
          <w:tcPr>
            <w:tcW w:w="6523" w:type="dxa"/>
            <w:vAlign w:val="center"/>
          </w:tcPr>
          <w:p w:rsidR="00477D06" w:rsidRDefault="00A372AF">
            <w:pPr>
              <w:tabs>
                <w:tab w:val="left" w:pos="-1080"/>
              </w:tabs>
              <w:jc w:val="center"/>
            </w:pPr>
            <w:r>
              <w:t>Загальний бал =70% Технічної оцінки + 30% Фінансової оцінки</w:t>
            </w:r>
          </w:p>
        </w:tc>
      </w:tr>
    </w:tbl>
    <w:p w:rsidR="00477D06" w:rsidRDefault="00477D06">
      <w:pPr>
        <w:spacing w:after="0" w:line="240" w:lineRule="auto"/>
        <w:jc w:val="both"/>
        <w:rPr>
          <w:b/>
        </w:rPr>
      </w:pPr>
    </w:p>
    <w:p w:rsidR="00477D06" w:rsidRDefault="00A372AF">
      <w:pPr>
        <w:spacing w:before="80" w:after="80" w:line="240" w:lineRule="auto"/>
        <w:jc w:val="both"/>
        <w:rPr>
          <w:b/>
        </w:rPr>
      </w:pPr>
      <w:r>
        <w:rPr>
          <w:b/>
        </w:rPr>
        <w:t xml:space="preserve">VI. Визначення переможця </w:t>
      </w:r>
    </w:p>
    <w:p w:rsidR="00477D06" w:rsidRDefault="00A372A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80" w:after="80" w:line="240" w:lineRule="auto"/>
        <w:jc w:val="both"/>
        <w:rPr>
          <w:color w:val="000000"/>
        </w:rPr>
      </w:pPr>
      <w:r>
        <w:rPr>
          <w:color w:val="000000"/>
        </w:rPr>
        <w:t xml:space="preserve">Договір на термін до 31 </w:t>
      </w:r>
      <w:r>
        <w:t>грудня</w:t>
      </w:r>
      <w:r>
        <w:rPr>
          <w:color w:val="000000"/>
        </w:rPr>
        <w:t xml:space="preserve"> 202</w:t>
      </w:r>
      <w:r>
        <w:t>2</w:t>
      </w:r>
      <w:r>
        <w:rPr>
          <w:color w:val="000000"/>
        </w:rPr>
        <w:t xml:space="preserve"> року між UNFPA та постачальником буде укладено з тим претендентом, чия пропозиція набере найвищій бал за сумарною оцінкою та буде відповідати вимогам документації конкурсних торгів.</w:t>
      </w:r>
    </w:p>
    <w:p w:rsidR="00477D06" w:rsidRDefault="00A372AF">
      <w:pPr>
        <w:spacing w:before="80" w:after="80" w:line="240" w:lineRule="auto"/>
        <w:jc w:val="both"/>
        <w:rPr>
          <w:b/>
        </w:rPr>
      </w:pPr>
      <w:r>
        <w:rPr>
          <w:b/>
        </w:rPr>
        <w:t>VII. Право на змінення вимог під час прийняття рішень</w:t>
      </w:r>
    </w:p>
    <w:p w:rsidR="00477D06" w:rsidRDefault="00A372AF">
      <w:pPr>
        <w:pBdr>
          <w:top w:val="nil"/>
          <w:left w:val="nil"/>
          <w:bottom w:val="nil"/>
          <w:right w:val="nil"/>
          <w:between w:val="nil"/>
        </w:pBdr>
        <w:tabs>
          <w:tab w:val="left" w:pos="851"/>
        </w:tabs>
        <w:spacing w:before="80" w:after="80" w:line="276"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477D06" w:rsidRDefault="00A372AF">
      <w:pPr>
        <w:spacing w:before="80" w:after="80" w:line="240" w:lineRule="auto"/>
        <w:jc w:val="both"/>
        <w:rPr>
          <w:b/>
        </w:rPr>
      </w:pPr>
      <w:r>
        <w:rPr>
          <w:b/>
        </w:rPr>
        <w:t>VIII. Умови оплати</w:t>
      </w:r>
    </w:p>
    <w:p w:rsidR="00477D06" w:rsidRDefault="00A372AF">
      <w:pPr>
        <w:tabs>
          <w:tab w:val="left" w:pos="-180"/>
          <w:tab w:val="left" w:pos="-90"/>
        </w:tabs>
        <w:spacing w:before="80" w:after="80"/>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1">
        <w:r>
          <w:rPr>
            <w:color w:val="0070C0"/>
          </w:rP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477D06" w:rsidRDefault="00A372AF">
      <w:pPr>
        <w:spacing w:before="80" w:after="80" w:line="240" w:lineRule="auto"/>
        <w:jc w:val="both"/>
        <w:rPr>
          <w:b/>
        </w:rPr>
      </w:pPr>
      <w:r>
        <w:rPr>
          <w:b/>
        </w:rPr>
        <w:t xml:space="preserve">IX. </w:t>
      </w:r>
      <w:hyperlink r:id="rId12" w:anchor="FraudCorruption">
        <w:r>
          <w:rPr>
            <w:b/>
          </w:rPr>
          <w:t>Шахрайство</w:t>
        </w:r>
      </w:hyperlink>
      <w:r>
        <w:rPr>
          <w:b/>
        </w:rPr>
        <w:t xml:space="preserve"> і корупція</w:t>
      </w:r>
    </w:p>
    <w:p w:rsidR="00477D06" w:rsidRDefault="00A372AF">
      <w:pPr>
        <w:pBdr>
          <w:top w:val="nil"/>
          <w:left w:val="nil"/>
          <w:bottom w:val="nil"/>
          <w:right w:val="nil"/>
          <w:between w:val="nil"/>
        </w:pBdr>
        <w:spacing w:before="80" w:after="80"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rsidR="00477D06" w:rsidRDefault="00A372AF">
      <w:pPr>
        <w:spacing w:before="80" w:after="80"/>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w:t>
      </w:r>
      <w:r>
        <w:lastRenderedPageBreak/>
        <w:t xml:space="preserve">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477D06" w:rsidRDefault="00A372AF">
      <w:pPr>
        <w:spacing w:before="80" w:after="80"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Pr>
            <w:color w:val="0563C1"/>
            <w:u w:val="single"/>
          </w:rPr>
          <w:t>UNFPAInvestigationHotline</w:t>
        </w:r>
      </w:hyperlink>
      <w:r>
        <w:rPr>
          <w:color w:val="0563C1"/>
          <w:u w:val="single"/>
        </w:rPr>
        <w:t>.</w:t>
      </w:r>
    </w:p>
    <w:p w:rsidR="00477D06" w:rsidRDefault="00477D06">
      <w:pPr>
        <w:spacing w:before="80" w:after="80" w:line="240" w:lineRule="auto"/>
        <w:jc w:val="both"/>
        <w:rPr>
          <w:b/>
        </w:rPr>
      </w:pPr>
    </w:p>
    <w:p w:rsidR="00477D06" w:rsidRDefault="00A372AF">
      <w:pPr>
        <w:spacing w:before="80" w:after="80" w:line="240" w:lineRule="auto"/>
        <w:jc w:val="both"/>
        <w:rPr>
          <w:b/>
        </w:rPr>
      </w:pPr>
      <w:r>
        <w:rPr>
          <w:b/>
        </w:rPr>
        <w:t>X. Політика нульової толерантності</w:t>
      </w:r>
    </w:p>
    <w:p w:rsidR="00477D06" w:rsidRDefault="00A372AF">
      <w:pPr>
        <w:spacing w:before="80" w:after="80"/>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r>
          <w:rPr>
            <w:color w:val="0563C1"/>
            <w:u w:val="single"/>
          </w:rPr>
          <w:t>ZeroTolerancePolicy</w:t>
        </w:r>
      </w:hyperlink>
      <w:r>
        <w:t>.</w:t>
      </w:r>
    </w:p>
    <w:p w:rsidR="00477D06" w:rsidRDefault="00477D06">
      <w:pPr>
        <w:spacing w:before="80" w:after="80" w:line="240" w:lineRule="auto"/>
        <w:jc w:val="both"/>
        <w:rPr>
          <w:b/>
        </w:rPr>
      </w:pPr>
    </w:p>
    <w:p w:rsidR="00477D06" w:rsidRDefault="00A372AF">
      <w:pPr>
        <w:spacing w:before="80" w:after="80" w:line="240" w:lineRule="auto"/>
        <w:jc w:val="both"/>
        <w:rPr>
          <w:b/>
        </w:rPr>
      </w:pPr>
      <w:r>
        <w:rPr>
          <w:b/>
        </w:rPr>
        <w:t>XI. Опротестування процесу подання пропозицій</w:t>
      </w:r>
    </w:p>
    <w:p w:rsidR="00477D06" w:rsidRDefault="00A372AF">
      <w:pPr>
        <w:tabs>
          <w:tab w:val="left" w:pos="851"/>
        </w:tabs>
        <w:spacing w:before="80" w:after="80"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6">
        <w:r>
          <w:t>kompaniiets@unfpa.org</w:t>
        </w:r>
      </w:hyperlink>
      <w:r>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Pr>
          <w:color w:val="003366"/>
          <w:u w:val="single"/>
        </w:rPr>
        <w:t xml:space="preserve"> </w:t>
      </w:r>
      <w:hyperlink r:id="rId17">
        <w:r>
          <w:rPr>
            <w:color w:val="003366"/>
            <w:u w:val="single"/>
          </w:rPr>
          <w:t>procurement@unfpa.org</w:t>
        </w:r>
      </w:hyperlink>
      <w:r>
        <w:t>.</w:t>
      </w:r>
    </w:p>
    <w:p w:rsidR="00477D06" w:rsidRDefault="00477D06">
      <w:pPr>
        <w:tabs>
          <w:tab w:val="left" w:pos="851"/>
        </w:tabs>
        <w:spacing w:before="80" w:after="80" w:line="276" w:lineRule="auto"/>
        <w:jc w:val="both"/>
      </w:pPr>
    </w:p>
    <w:p w:rsidR="00477D06" w:rsidRDefault="00A372AF">
      <w:pPr>
        <w:spacing w:before="80" w:after="80" w:line="240" w:lineRule="auto"/>
        <w:jc w:val="both"/>
        <w:rPr>
          <w:b/>
        </w:rPr>
      </w:pPr>
      <w:r>
        <w:rPr>
          <w:b/>
        </w:rPr>
        <w:t>XII. Зауваження</w:t>
      </w:r>
    </w:p>
    <w:p w:rsidR="00477D06" w:rsidRDefault="00A372AF">
      <w:pPr>
        <w:spacing w:before="80" w:after="80"/>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77D06" w:rsidRDefault="00A372AF">
      <w:pPr>
        <w:rPr>
          <w:b/>
          <w:smallCaps/>
        </w:rPr>
      </w:pPr>
      <w:r>
        <w:br w:type="page"/>
      </w:r>
    </w:p>
    <w:p w:rsidR="00477D06" w:rsidRDefault="00A372AF">
      <w:r>
        <w:rPr>
          <w:b/>
          <w:smallCaps/>
        </w:rPr>
        <w:lastRenderedPageBreak/>
        <w:t>БЛАНК ЦІНОВОЇ ПРОПОЗИЦІЇ</w:t>
      </w:r>
    </w:p>
    <w:tbl>
      <w:tblPr>
        <w:tblStyle w:val="afa"/>
        <w:tblW w:w="10773"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62"/>
        <w:gridCol w:w="6526"/>
        <w:gridCol w:w="3685"/>
      </w:tblGrid>
      <w:tr w:rsidR="00477D06">
        <w:trPr>
          <w:jc w:val="center"/>
        </w:trPr>
        <w:tc>
          <w:tcPr>
            <w:tcW w:w="562" w:type="dxa"/>
          </w:tcPr>
          <w:p w:rsidR="00477D06" w:rsidRDefault="00477D06">
            <w:pPr>
              <w:spacing w:after="0" w:line="240" w:lineRule="auto"/>
              <w:rPr>
                <w:b/>
              </w:rPr>
            </w:pPr>
          </w:p>
        </w:tc>
        <w:tc>
          <w:tcPr>
            <w:tcW w:w="6526" w:type="dxa"/>
          </w:tcPr>
          <w:p w:rsidR="00477D06" w:rsidRDefault="00A372AF">
            <w:pPr>
              <w:spacing w:after="0" w:line="240" w:lineRule="auto"/>
              <w:rPr>
                <w:b/>
              </w:rPr>
            </w:pPr>
            <w:r>
              <w:rPr>
                <w:b/>
              </w:rPr>
              <w:t>Найменування претендента:</w:t>
            </w:r>
          </w:p>
        </w:tc>
        <w:tc>
          <w:tcPr>
            <w:tcW w:w="3685" w:type="dxa"/>
            <w:vAlign w:val="center"/>
          </w:tcPr>
          <w:p w:rsidR="00477D06" w:rsidRDefault="00477D06">
            <w:pPr>
              <w:spacing w:after="0" w:line="240" w:lineRule="auto"/>
              <w:jc w:val="center"/>
            </w:pPr>
          </w:p>
        </w:tc>
      </w:tr>
      <w:tr w:rsidR="00477D06">
        <w:trPr>
          <w:jc w:val="center"/>
        </w:trPr>
        <w:tc>
          <w:tcPr>
            <w:tcW w:w="562" w:type="dxa"/>
          </w:tcPr>
          <w:p w:rsidR="00477D06" w:rsidRDefault="00477D06">
            <w:pPr>
              <w:spacing w:after="0" w:line="240" w:lineRule="auto"/>
              <w:rPr>
                <w:b/>
              </w:rPr>
            </w:pPr>
          </w:p>
        </w:tc>
        <w:tc>
          <w:tcPr>
            <w:tcW w:w="6526" w:type="dxa"/>
          </w:tcPr>
          <w:p w:rsidR="00477D06" w:rsidRDefault="00A372AF">
            <w:pPr>
              <w:spacing w:after="0" w:line="240" w:lineRule="auto"/>
              <w:rPr>
                <w:b/>
              </w:rPr>
            </w:pPr>
            <w:r>
              <w:rPr>
                <w:b/>
              </w:rPr>
              <w:t>Дата подання:</w:t>
            </w:r>
          </w:p>
        </w:tc>
        <w:tc>
          <w:tcPr>
            <w:tcW w:w="3685" w:type="dxa"/>
            <w:vAlign w:val="center"/>
          </w:tcPr>
          <w:p w:rsidR="00477D06" w:rsidRDefault="00A372AF">
            <w:pPr>
              <w:spacing w:after="0" w:line="240" w:lineRule="auto"/>
              <w:ind w:right="673"/>
              <w:jc w:val="center"/>
            </w:pPr>
            <w:r>
              <w:rPr>
                <w:color w:val="808080"/>
              </w:rPr>
              <w:t>Click here to enter a date.</w:t>
            </w:r>
          </w:p>
        </w:tc>
      </w:tr>
      <w:tr w:rsidR="00477D06">
        <w:trPr>
          <w:jc w:val="center"/>
        </w:trPr>
        <w:tc>
          <w:tcPr>
            <w:tcW w:w="562" w:type="dxa"/>
          </w:tcPr>
          <w:p w:rsidR="00477D06" w:rsidRDefault="00477D06">
            <w:pPr>
              <w:spacing w:after="0" w:line="240" w:lineRule="auto"/>
              <w:rPr>
                <w:b/>
              </w:rPr>
            </w:pPr>
          </w:p>
        </w:tc>
        <w:tc>
          <w:tcPr>
            <w:tcW w:w="6526" w:type="dxa"/>
          </w:tcPr>
          <w:p w:rsidR="00477D06" w:rsidRDefault="00A372AF">
            <w:pPr>
              <w:spacing w:after="0" w:line="240" w:lineRule="auto"/>
              <w:rPr>
                <w:b/>
              </w:rPr>
            </w:pPr>
            <w:r>
              <w:rPr>
                <w:b/>
              </w:rPr>
              <w:t>Номер запиту:</w:t>
            </w:r>
          </w:p>
        </w:tc>
        <w:tc>
          <w:tcPr>
            <w:tcW w:w="3685" w:type="dxa"/>
            <w:vAlign w:val="center"/>
          </w:tcPr>
          <w:p w:rsidR="00477D06" w:rsidRDefault="00A372AF">
            <w:pPr>
              <w:spacing w:after="0" w:line="240" w:lineRule="auto"/>
              <w:jc w:val="center"/>
              <w:rPr>
                <w:b/>
              </w:rPr>
            </w:pPr>
            <w:r>
              <w:rPr>
                <w:b/>
                <w:color w:val="000000"/>
              </w:rPr>
              <w:t>UNFPA/UKR/RFQ/22/15</w:t>
            </w:r>
          </w:p>
        </w:tc>
      </w:tr>
      <w:tr w:rsidR="00477D06">
        <w:trPr>
          <w:jc w:val="center"/>
        </w:trPr>
        <w:tc>
          <w:tcPr>
            <w:tcW w:w="562" w:type="dxa"/>
          </w:tcPr>
          <w:p w:rsidR="00477D06" w:rsidRDefault="00477D06">
            <w:pPr>
              <w:spacing w:after="0" w:line="240" w:lineRule="auto"/>
              <w:rPr>
                <w:b/>
              </w:rPr>
            </w:pPr>
          </w:p>
        </w:tc>
        <w:tc>
          <w:tcPr>
            <w:tcW w:w="6526" w:type="dxa"/>
          </w:tcPr>
          <w:p w:rsidR="00477D06" w:rsidRDefault="00A372AF">
            <w:pPr>
              <w:spacing w:after="0" w:line="240" w:lineRule="auto"/>
              <w:rPr>
                <w:b/>
              </w:rPr>
            </w:pPr>
            <w:r>
              <w:rPr>
                <w:b/>
              </w:rPr>
              <w:t>Валюта:</w:t>
            </w:r>
          </w:p>
        </w:tc>
        <w:tc>
          <w:tcPr>
            <w:tcW w:w="3685" w:type="dxa"/>
            <w:vAlign w:val="center"/>
          </w:tcPr>
          <w:p w:rsidR="00477D06" w:rsidRDefault="00A372AF">
            <w:pPr>
              <w:spacing w:after="0" w:line="240" w:lineRule="auto"/>
              <w:jc w:val="center"/>
            </w:pPr>
            <w:r>
              <w:t>UAH</w:t>
            </w:r>
          </w:p>
        </w:tc>
      </w:tr>
      <w:tr w:rsidR="00477D06">
        <w:trPr>
          <w:jc w:val="center"/>
        </w:trPr>
        <w:tc>
          <w:tcPr>
            <w:tcW w:w="562" w:type="dxa"/>
            <w:tcBorders>
              <w:bottom w:val="single" w:sz="4" w:space="0" w:color="F2F2F2"/>
            </w:tcBorders>
          </w:tcPr>
          <w:p w:rsidR="00477D06" w:rsidRDefault="00477D06">
            <w:pPr>
              <w:spacing w:after="0" w:line="240" w:lineRule="auto"/>
              <w:rPr>
                <w:b/>
              </w:rPr>
            </w:pPr>
          </w:p>
        </w:tc>
        <w:tc>
          <w:tcPr>
            <w:tcW w:w="6526" w:type="dxa"/>
            <w:tcBorders>
              <w:bottom w:val="single" w:sz="4" w:space="0" w:color="F2F2F2"/>
            </w:tcBorders>
          </w:tcPr>
          <w:p w:rsidR="00477D06" w:rsidRDefault="00A372AF">
            <w:pPr>
              <w:spacing w:after="0" w:line="240" w:lineRule="auto"/>
              <w:rPr>
                <w:b/>
              </w:rPr>
            </w:pPr>
            <w:r>
              <w:rPr>
                <w:b/>
              </w:rPr>
              <w:t>Термін дії цінової пропозиції:</w:t>
            </w:r>
          </w:p>
          <w:p w:rsidR="00477D06" w:rsidRDefault="00A372AF">
            <w:pPr>
              <w:spacing w:after="0" w:line="240" w:lineRule="auto"/>
              <w:jc w:val="both"/>
              <w:rPr>
                <w:i/>
              </w:rPr>
            </w:pPr>
            <w:r>
              <w:rPr>
                <w:i/>
              </w:rPr>
              <w:t>(пропозиція має бути чинною протягом щонайменше 3 місяців після кінцевого строку надсилання пропозицій)</w:t>
            </w:r>
          </w:p>
          <w:p w:rsidR="00477D06" w:rsidRDefault="00A372AF">
            <w:pPr>
              <w:spacing w:after="0" w:line="240" w:lineRule="auto"/>
              <w:jc w:val="both"/>
              <w:rPr>
                <w:b/>
                <w:i/>
                <w:color w:val="C00000"/>
                <w:u w:val="single"/>
              </w:rPr>
            </w:pPr>
            <w:r>
              <w:rPr>
                <w:b/>
                <w:i/>
                <w:color w:val="C00000"/>
                <w:u w:val="single"/>
              </w:rPr>
              <w:t>Пропозиції надаються без урахування ПДВ оскільки Фонд ООН у галузі народонаселення звільнено від сплати ПДВ</w:t>
            </w:r>
          </w:p>
        </w:tc>
        <w:tc>
          <w:tcPr>
            <w:tcW w:w="3685" w:type="dxa"/>
            <w:tcBorders>
              <w:bottom w:val="single" w:sz="4" w:space="0" w:color="F2F2F2"/>
            </w:tcBorders>
            <w:vAlign w:val="center"/>
          </w:tcPr>
          <w:p w:rsidR="00477D06" w:rsidRDefault="00477D06">
            <w:pPr>
              <w:spacing w:after="0" w:line="240" w:lineRule="auto"/>
              <w:ind w:right="493"/>
              <w:jc w:val="center"/>
            </w:pPr>
          </w:p>
        </w:tc>
      </w:tr>
    </w:tbl>
    <w:p w:rsidR="00477D06" w:rsidRDefault="00477D06">
      <w:pPr>
        <w:widowControl w:val="0"/>
        <w:pBdr>
          <w:top w:val="nil"/>
          <w:left w:val="nil"/>
          <w:bottom w:val="nil"/>
          <w:right w:val="nil"/>
          <w:between w:val="nil"/>
        </w:pBdr>
        <w:spacing w:after="0" w:line="276" w:lineRule="auto"/>
      </w:pPr>
    </w:p>
    <w:tbl>
      <w:tblPr>
        <w:tblStyle w:val="afb"/>
        <w:tblW w:w="941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1244"/>
        <w:gridCol w:w="1199"/>
        <w:gridCol w:w="1307"/>
      </w:tblGrid>
      <w:tr w:rsidR="00477D06">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77D06" w:rsidRDefault="00A372AF">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77D06" w:rsidRDefault="00A372AF">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77D06" w:rsidRDefault="00A372AF">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77D06" w:rsidRDefault="00A372AF">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77D06" w:rsidRDefault="00A372AF">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77D06" w:rsidRDefault="00A372AF">
            <w:pPr>
              <w:jc w:val="center"/>
            </w:pPr>
            <w:r>
              <w:t>Загалом</w:t>
            </w:r>
          </w:p>
        </w:tc>
      </w:tr>
      <w:tr w:rsidR="00477D06">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77D06" w:rsidRDefault="00A372AF">
            <w:pPr>
              <w:numPr>
                <w:ilvl w:val="0"/>
                <w:numId w:val="3"/>
              </w:numPr>
              <w:tabs>
                <w:tab w:val="left" w:pos="360"/>
              </w:tabs>
              <w:ind w:left="360" w:hanging="360"/>
            </w:pPr>
            <w:r>
              <w:t xml:space="preserve">Професійні послуги </w:t>
            </w:r>
          </w:p>
        </w:tc>
      </w:tr>
      <w:tr w:rsidR="00477D0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r>
      <w:tr w:rsidR="00477D0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r>
      <w:tr w:rsidR="00477D0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r>
      <w:tr w:rsidR="00477D06">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A372AF">
            <w:pPr>
              <w:jc w:val="right"/>
            </w:pPr>
            <w:r>
              <w:rPr>
                <w:i/>
              </w:rPr>
              <w:t>Загальна сума професійних гонорарів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right"/>
            </w:pPr>
          </w:p>
        </w:tc>
      </w:tr>
      <w:tr w:rsidR="00477D06">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77D06" w:rsidRDefault="00A372AF">
            <w:pPr>
              <w:numPr>
                <w:ilvl w:val="0"/>
                <w:numId w:val="4"/>
              </w:numPr>
              <w:tabs>
                <w:tab w:val="left" w:pos="360"/>
              </w:tabs>
              <w:ind w:left="360" w:hanging="360"/>
              <w:jc w:val="both"/>
            </w:pPr>
            <w:r>
              <w:t>Дрібні поточні витрати</w:t>
            </w:r>
          </w:p>
        </w:tc>
      </w:tr>
      <w:tr w:rsidR="00477D0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r>
      <w:tr w:rsidR="00477D0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both"/>
            </w:pPr>
          </w:p>
        </w:tc>
      </w:tr>
      <w:tr w:rsidR="00477D06">
        <w:trPr>
          <w:trHeight w:val="192"/>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A372AF">
            <w:pPr>
              <w:jc w:val="right"/>
            </w:pPr>
            <w:r>
              <w:rPr>
                <w:i/>
              </w:rPr>
              <w:t>Загальна сума дрібних поточних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right"/>
            </w:pPr>
          </w:p>
        </w:tc>
      </w:tr>
      <w:tr w:rsidR="00477D06">
        <w:trPr>
          <w:trHeight w:val="581"/>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A372AF">
            <w:pPr>
              <w:jc w:val="right"/>
              <w:rPr>
                <w:b/>
                <w:i/>
              </w:rPr>
            </w:pPr>
            <w:bookmarkStart w:id="3" w:name="_heading=h.1fob9te" w:colFirst="0" w:colLast="0"/>
            <w:bookmarkEnd w:id="3"/>
            <w:r>
              <w:rPr>
                <w:b/>
                <w:i/>
              </w:rPr>
              <w:t>Загальна сума контракту</w:t>
            </w:r>
          </w:p>
          <w:p w:rsidR="00477D06" w:rsidRDefault="00A372AF">
            <w:pPr>
              <w:jc w:val="right"/>
            </w:pPr>
            <w:r>
              <w:rPr>
                <w:i/>
              </w:rPr>
              <w:t xml:space="preserve"> (Професійні гонорари + дрібні поточні витрати), грн. без ПДВ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D06" w:rsidRDefault="00477D06">
            <w:pPr>
              <w:jc w:val="right"/>
            </w:pPr>
          </w:p>
        </w:tc>
      </w:tr>
    </w:tbl>
    <w:p w:rsidR="00477D06" w:rsidRDefault="00A372AF">
      <w:pPr>
        <w:tabs>
          <w:tab w:val="left" w:pos="-180"/>
          <w:tab w:val="right" w:pos="1980"/>
          <w:tab w:val="left" w:pos="2160"/>
          <w:tab w:val="left" w:pos="4320"/>
        </w:tabs>
        <w:rPr>
          <w:b/>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12700</wp:posOffset>
                </wp:positionV>
                <wp:extent cx="6038850" cy="704850"/>
                <wp:effectExtent l="0" t="0" r="0" b="0"/>
                <wp:wrapNone/>
                <wp:docPr id="5" name="Rectangle 5"/>
                <wp:cNvGraphicFramePr/>
                <a:graphic xmlns:a="http://schemas.openxmlformats.org/drawingml/2006/main">
                  <a:graphicData uri="http://schemas.microsoft.com/office/word/2010/wordprocessingShape">
                    <wps:wsp>
                      <wps:cNvSpPr/>
                      <wps:spPr>
                        <a:xfrm>
                          <a:off x="2336100" y="3437100"/>
                          <a:ext cx="6019800" cy="685800"/>
                        </a:xfrm>
                        <a:prstGeom prst="rect">
                          <a:avLst/>
                        </a:prstGeom>
                        <a:noFill/>
                        <a:ln w="9525" cap="flat" cmpd="sng">
                          <a:solidFill>
                            <a:srgbClr val="000000"/>
                          </a:solidFill>
                          <a:prstDash val="solid"/>
                          <a:miter lim="800000"/>
                          <a:headEnd type="none" w="sm" len="sm"/>
                          <a:tailEnd type="none" w="sm" len="sm"/>
                        </a:ln>
                      </wps:spPr>
                      <wps:txbx>
                        <w:txbxContent>
                          <w:p w:rsidR="00477D06" w:rsidRDefault="00A372AF">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5pt;margin-top:1pt;width:475.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" filled="f">
                <v:stroke startarrowwidth="narrow" startarrowlength="short" endarrowwidth="narrow" endarrowlength="short"/>
                <v:textbox inset="2.53958mm,1.2694mm,2.53958mm,1.2694mm">
                  <w:txbxContent>
                    <w:p w:rsidR="00477D06" w:rsidRDefault="00A372AF">
                      <w:pPr>
                        <w:spacing w:line="258" w:lineRule="auto"/>
                        <w:textDirection w:val="btLr"/>
                      </w:pPr>
                      <w:r>
                        <w:rPr>
                          <w:i/>
                          <w:color w:val="000000"/>
                        </w:rPr>
                        <w:t>Коментарі:</w:t>
                      </w:r>
                    </w:p>
                  </w:txbxContent>
                </v:textbox>
              </v:rect>
            </w:pict>
          </mc:Fallback>
        </mc:AlternateContent>
      </w:r>
    </w:p>
    <w:p w:rsidR="00477D06" w:rsidRDefault="00477D06">
      <w:pPr>
        <w:tabs>
          <w:tab w:val="left" w:pos="-180"/>
          <w:tab w:val="right" w:pos="1980"/>
          <w:tab w:val="left" w:pos="2160"/>
          <w:tab w:val="left" w:pos="4320"/>
        </w:tabs>
        <w:rPr>
          <w:b/>
        </w:rPr>
      </w:pPr>
    </w:p>
    <w:p w:rsidR="00477D06" w:rsidRDefault="00477D06">
      <w:pPr>
        <w:pBdr>
          <w:top w:val="nil"/>
          <w:left w:val="nil"/>
          <w:bottom w:val="nil"/>
          <w:right w:val="nil"/>
          <w:between w:val="nil"/>
        </w:pBdr>
        <w:spacing w:after="0" w:line="240" w:lineRule="auto"/>
        <w:jc w:val="both"/>
        <w:rPr>
          <w:color w:val="000000"/>
        </w:rPr>
      </w:pPr>
    </w:p>
    <w:p w:rsidR="00477D06" w:rsidRDefault="00477D06">
      <w:pPr>
        <w:spacing w:after="0" w:line="240" w:lineRule="auto"/>
        <w:jc w:val="both"/>
      </w:pPr>
    </w:p>
    <w:p w:rsidR="00477D06" w:rsidRDefault="00A372AF">
      <w:pPr>
        <w:spacing w:after="0"/>
        <w:jc w:val="both"/>
        <w:rPr>
          <w:b/>
        </w:rPr>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 Nº UNFPA/UKR/RFQ/22/15 </w:t>
      </w:r>
      <w:r>
        <w:t>[</w:t>
      </w:r>
      <w:r>
        <w:rPr>
          <w:b/>
        </w:rPr>
        <w:t>Розробка та реалізація освітньої програми з блогерства (резиденція та онлайновий відеокурс) для молоді]</w:t>
      </w:r>
      <w: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tbl>
      <w:tblPr>
        <w:tblStyle w:val="af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77D06">
        <w:tc>
          <w:tcPr>
            <w:tcW w:w="4623" w:type="dxa"/>
            <w:shd w:val="clear" w:color="auto" w:fill="auto"/>
            <w:vAlign w:val="center"/>
          </w:tcPr>
          <w:p w:rsidR="00477D06" w:rsidRDefault="00477D06">
            <w:pPr>
              <w:tabs>
                <w:tab w:val="left" w:pos="-180"/>
                <w:tab w:val="right" w:pos="1980"/>
                <w:tab w:val="left" w:pos="2160"/>
                <w:tab w:val="left" w:pos="4320"/>
              </w:tabs>
            </w:pPr>
          </w:p>
          <w:p w:rsidR="00477D06" w:rsidRDefault="00477D06">
            <w:pPr>
              <w:tabs>
                <w:tab w:val="left" w:pos="-180"/>
                <w:tab w:val="right" w:pos="1980"/>
                <w:tab w:val="left" w:pos="2160"/>
                <w:tab w:val="left" w:pos="4320"/>
              </w:tabs>
            </w:pPr>
          </w:p>
        </w:tc>
        <w:tc>
          <w:tcPr>
            <w:tcW w:w="2309" w:type="dxa"/>
            <w:tcBorders>
              <w:right w:val="nil"/>
            </w:tcBorders>
            <w:shd w:val="clear" w:color="auto" w:fill="auto"/>
            <w:vAlign w:val="center"/>
          </w:tcPr>
          <w:p w:rsidR="00477D06" w:rsidRDefault="00A372AF">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477D06" w:rsidRDefault="00477D06">
            <w:pPr>
              <w:tabs>
                <w:tab w:val="left" w:pos="-180"/>
                <w:tab w:val="right" w:pos="1980"/>
                <w:tab w:val="left" w:pos="2160"/>
                <w:tab w:val="left" w:pos="4320"/>
              </w:tabs>
            </w:pPr>
          </w:p>
        </w:tc>
      </w:tr>
      <w:tr w:rsidR="00477D06">
        <w:tc>
          <w:tcPr>
            <w:tcW w:w="4623" w:type="dxa"/>
            <w:shd w:val="clear" w:color="auto" w:fill="auto"/>
            <w:vAlign w:val="center"/>
          </w:tcPr>
          <w:p w:rsidR="00477D06" w:rsidRDefault="00A372AF">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477D06" w:rsidRDefault="00A372AF">
            <w:pPr>
              <w:tabs>
                <w:tab w:val="left" w:pos="-180"/>
                <w:tab w:val="right" w:pos="1980"/>
                <w:tab w:val="left" w:pos="2160"/>
                <w:tab w:val="left" w:pos="4320"/>
              </w:tabs>
              <w:jc w:val="center"/>
            </w:pPr>
            <w:r>
              <w:t>Дата та місце</w:t>
            </w:r>
          </w:p>
        </w:tc>
      </w:tr>
    </w:tbl>
    <w:p w:rsidR="00477D06" w:rsidRDefault="00477D06">
      <w:pPr>
        <w:jc w:val="center"/>
        <w:rPr>
          <w:b/>
        </w:rPr>
      </w:pPr>
    </w:p>
    <w:p w:rsidR="00477D06" w:rsidRDefault="00DD4AF9" w:rsidP="00DD4AF9">
      <w:pPr>
        <w:rPr>
          <w:b/>
        </w:rPr>
      </w:pPr>
      <w:r w:rsidRPr="00DD4AF9">
        <w:rPr>
          <w:b/>
        </w:rPr>
        <w:t>Загальний наявний бюджет - USD 30 000</w:t>
      </w:r>
    </w:p>
    <w:p w:rsidR="00DD4AF9" w:rsidRDefault="00DD4AF9">
      <w:pPr>
        <w:jc w:val="center"/>
        <w:rPr>
          <w:b/>
        </w:rPr>
      </w:pPr>
    </w:p>
    <w:p w:rsidR="00DD4AF9" w:rsidRDefault="00DD4AF9">
      <w:pPr>
        <w:jc w:val="center"/>
        <w:rPr>
          <w:b/>
        </w:rPr>
      </w:pPr>
    </w:p>
    <w:p w:rsidR="00DD4AF9" w:rsidRDefault="00DD4AF9">
      <w:pPr>
        <w:jc w:val="center"/>
        <w:rPr>
          <w:b/>
        </w:rPr>
      </w:pPr>
    </w:p>
    <w:p w:rsidR="00DD4AF9" w:rsidRDefault="00DD4AF9">
      <w:pPr>
        <w:jc w:val="center"/>
        <w:rPr>
          <w:b/>
        </w:rPr>
      </w:pPr>
    </w:p>
    <w:p w:rsidR="00477D06" w:rsidRDefault="00A372AF">
      <w:pPr>
        <w:jc w:val="center"/>
        <w:rPr>
          <w:b/>
        </w:rPr>
      </w:pPr>
      <w:r>
        <w:rPr>
          <w:b/>
        </w:rPr>
        <w:lastRenderedPageBreak/>
        <w:t>Додаток I:</w:t>
      </w:r>
    </w:p>
    <w:p w:rsidR="00477D06" w:rsidRDefault="00A372AF">
      <w:pPr>
        <w:jc w:val="center"/>
        <w:rPr>
          <w:b/>
        </w:rPr>
      </w:pPr>
      <w:r>
        <w:rPr>
          <w:b/>
        </w:rPr>
        <w:t>Загальні умови договору:</w:t>
      </w:r>
    </w:p>
    <w:p w:rsidR="00477D06" w:rsidRDefault="00A372AF">
      <w:pPr>
        <w:jc w:val="center"/>
        <w:rPr>
          <w:b/>
        </w:rPr>
      </w:pPr>
      <w:r>
        <w:rPr>
          <w:b/>
        </w:rPr>
        <w:t>De Minimis Contracts</w:t>
      </w:r>
    </w:p>
    <w:p w:rsidR="00477D06" w:rsidRDefault="00477D06"/>
    <w:p w:rsidR="00477D06" w:rsidRDefault="00477D06">
      <w:pPr>
        <w:tabs>
          <w:tab w:val="left" w:pos="7020"/>
        </w:tabs>
      </w:pPr>
    </w:p>
    <w:p w:rsidR="00477D06" w:rsidRDefault="00A372AF">
      <w:pPr>
        <w:tabs>
          <w:tab w:val="left" w:pos="7020"/>
        </w:tabs>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8">
        <w:r>
          <w:rPr>
            <w:color w:val="0563C1"/>
            <w:u w:val="single"/>
          </w:rPr>
          <w:t>English,</w:t>
        </w:r>
      </w:hyperlink>
      <w:r>
        <w:rPr>
          <w:color w:val="0563C1"/>
          <w:u w:val="single"/>
        </w:rPr>
        <w:t xml:space="preserve"> </w:t>
      </w:r>
      <w:hyperlink r:id="rId19">
        <w:r>
          <w:rPr>
            <w:color w:val="0563C1"/>
            <w:u w:val="single"/>
          </w:rPr>
          <w:t>Spanish</w:t>
        </w:r>
      </w:hyperlink>
      <w:r>
        <w:t xml:space="preserve"> і </w:t>
      </w:r>
      <w:hyperlink r:id="rId20">
        <w:r>
          <w:rPr>
            <w:color w:val="0563C1"/>
            <w:u w:val="single"/>
          </w:rPr>
          <w:t>French</w:t>
        </w:r>
      </w:hyperlink>
    </w:p>
    <w:bookmarkEnd w:id="1"/>
    <w:p w:rsidR="00477D06" w:rsidRDefault="00477D06"/>
    <w:p w:rsidR="00477D06" w:rsidRDefault="00477D06"/>
    <w:sectPr w:rsidR="00477D06">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23" w:rsidRDefault="00061623">
      <w:pPr>
        <w:spacing w:after="0" w:line="240" w:lineRule="auto"/>
      </w:pPr>
      <w:r>
        <w:separator/>
      </w:r>
    </w:p>
  </w:endnote>
  <w:endnote w:type="continuationSeparator" w:id="0">
    <w:p w:rsidR="00061623" w:rsidRDefault="0006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23" w:rsidRDefault="00061623">
      <w:pPr>
        <w:spacing w:after="0" w:line="240" w:lineRule="auto"/>
      </w:pPr>
      <w:r>
        <w:separator/>
      </w:r>
    </w:p>
  </w:footnote>
  <w:footnote w:type="continuationSeparator" w:id="0">
    <w:p w:rsidR="00061623" w:rsidRDefault="00061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06" w:rsidRDefault="00A372A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77D06" w:rsidRDefault="00A372A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77D06" w:rsidRDefault="00A372A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77D06" w:rsidRDefault="00A372AF">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D6A8B"/>
    <w:multiLevelType w:val="multilevel"/>
    <w:tmpl w:val="274CF5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046408"/>
    <w:multiLevelType w:val="multilevel"/>
    <w:tmpl w:val="AE30F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4E7CBA"/>
    <w:multiLevelType w:val="multilevel"/>
    <w:tmpl w:val="5F2C79B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E3E73F6"/>
    <w:multiLevelType w:val="multilevel"/>
    <w:tmpl w:val="D7F8FCB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06"/>
    <w:rsid w:val="00061623"/>
    <w:rsid w:val="002B519B"/>
    <w:rsid w:val="00477D06"/>
    <w:rsid w:val="005D60BE"/>
    <w:rsid w:val="00866F3B"/>
    <w:rsid w:val="00A372AF"/>
    <w:rsid w:val="00D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104DD-E1AF-4D70-AC53-51F24565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C93"/>
    <w:pPr>
      <w:autoSpaceDE w:val="0"/>
      <w:autoSpaceDN w:val="0"/>
      <w:adjustRightInd w:val="0"/>
      <w:spacing w:after="0" w:line="240" w:lineRule="auto"/>
    </w:pPr>
    <w:rPr>
      <w:rFonts w:eastAsia="Times New Roman"/>
      <w:color w:val="000000"/>
      <w:sz w:val="24"/>
      <w:szCs w:val="24"/>
      <w:lang w:val="en-US"/>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0182">
      <w:bodyDiv w:val="1"/>
      <w:marLeft w:val="0"/>
      <w:marRight w:val="0"/>
      <w:marTop w:val="0"/>
      <w:marBottom w:val="0"/>
      <w:divBdr>
        <w:top w:val="none" w:sz="0" w:space="0" w:color="auto"/>
        <w:left w:val="none" w:sz="0" w:space="0" w:color="auto"/>
        <w:bottom w:val="none" w:sz="0" w:space="0" w:color="auto"/>
        <w:right w:val="none" w:sz="0" w:space="0" w:color="auto"/>
      </w:divBdr>
      <w:divsChild>
        <w:div w:id="1399668607">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numbering" Target="numbering.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un.org" TargetMode="Externa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https://youtube.com/playlist?list=PLV4zy1apmIUZVpKXIe10gUUaTRShmiZry"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s://www.youthwellbeing.in.ua/"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epTLS5T9TrnFESwhFk8QrYK2Q==">AMUW2mXgJ90k5cfhMP666M5U74yN1/SX9Q4V8omhs7YAEW7aSW4eCaaSPQv+ur6Fcn0ML3dWfA3IDqA9z4HBOhe045wun1EQ4rNmfYCq3IKENY5ktEvEbY7KHRn/RwCGWgJnfI5Yegq18dGNTO5QTic+xEsHv2bJlQ==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Maryna Semenenko</cp:lastModifiedBy>
  <cp:revision>5</cp:revision>
  <dcterms:created xsi:type="dcterms:W3CDTF">2022-06-10T11:02:00Z</dcterms:created>
  <dcterms:modified xsi:type="dcterms:W3CDTF">2022-06-14T10:52:00Z</dcterms:modified>
</cp:coreProperties>
</file>