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326F4" w14:textId="77777777" w:rsidR="003C72C0" w:rsidRDefault="003C72C0">
      <w:pPr>
        <w:tabs>
          <w:tab w:val="left" w:pos="5400"/>
        </w:tabs>
        <w:jc w:val="right"/>
      </w:pPr>
    </w:p>
    <w:p w14:paraId="62AA3D20" w14:textId="2938F65E" w:rsidR="003C72C0" w:rsidRDefault="00660A2D">
      <w:pPr>
        <w:tabs>
          <w:tab w:val="left" w:pos="5400"/>
        </w:tabs>
        <w:spacing w:after="0" w:line="240" w:lineRule="auto"/>
        <w:jc w:val="right"/>
      </w:pPr>
      <w:bookmarkStart w:id="0" w:name="_heading=h.gjdgxs" w:colFirst="0" w:colLast="0"/>
      <w:bookmarkEnd w:id="0"/>
      <w:r>
        <w:t xml:space="preserve">Дата:  </w:t>
      </w:r>
      <w:r w:rsidR="00AD30B7" w:rsidRPr="004B74E2">
        <w:rPr>
          <w:lang w:val="ru-RU"/>
        </w:rPr>
        <w:t>08</w:t>
      </w:r>
      <w:r w:rsidR="0030366D">
        <w:t xml:space="preserve"> </w:t>
      </w:r>
      <w:r w:rsidR="00AD30B7">
        <w:t>червня</w:t>
      </w:r>
      <w:r w:rsidR="0030366D">
        <w:t xml:space="preserve"> 2022</w:t>
      </w:r>
    </w:p>
    <w:p w14:paraId="37F7D057" w14:textId="77777777" w:rsidR="003C72C0" w:rsidRDefault="003C72C0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14:paraId="390059AB" w14:textId="77777777" w:rsidR="003C72C0" w:rsidRDefault="003C72C0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5D7CDA93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Затверджено:</w:t>
      </w:r>
    </w:p>
    <w:p w14:paraId="19DA10FF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п. Хайме Надаль</w:t>
      </w:r>
    </w:p>
    <w:p w14:paraId="5DCAC713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Представник Фонду ООН у галузі народонаселення</w:t>
      </w:r>
    </w:p>
    <w:p w14:paraId="474405D5" w14:textId="77777777" w:rsidR="003C72C0" w:rsidRDefault="003C72C0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</w:pPr>
    </w:p>
    <w:p w14:paraId="17A0A5BB" w14:textId="77777777" w:rsidR="003C72C0" w:rsidRDefault="003C72C0">
      <w:pPr>
        <w:spacing w:after="0" w:line="240" w:lineRule="auto"/>
        <w:jc w:val="center"/>
        <w:rPr>
          <w:b/>
        </w:rPr>
      </w:pPr>
    </w:p>
    <w:p w14:paraId="0902B940" w14:textId="77777777" w:rsidR="003C72C0" w:rsidRDefault="008908FE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14:paraId="48897636" w14:textId="643DA916" w:rsidR="003C72C0" w:rsidRPr="004B74E2" w:rsidRDefault="0030366D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>RFQ Nº UNFPA/UKR/RFQ/22/</w:t>
      </w:r>
      <w:r w:rsidR="00AD30B7" w:rsidRPr="004B74E2">
        <w:rPr>
          <w:b/>
          <w:lang w:val="ru-RU"/>
        </w:rPr>
        <w:t>14</w:t>
      </w:r>
    </w:p>
    <w:p w14:paraId="5C88C4AA" w14:textId="77777777" w:rsidR="003C72C0" w:rsidRDefault="003C72C0">
      <w:pPr>
        <w:spacing w:after="0" w:line="240" w:lineRule="auto"/>
        <w:jc w:val="center"/>
        <w:rPr>
          <w:b/>
        </w:rPr>
      </w:pPr>
    </w:p>
    <w:p w14:paraId="05ED9FCD" w14:textId="77777777" w:rsidR="003C72C0" w:rsidRDefault="003C72C0">
      <w:pPr>
        <w:spacing w:after="0" w:line="240" w:lineRule="auto"/>
        <w:jc w:val="center"/>
      </w:pPr>
    </w:p>
    <w:p w14:paraId="0818407C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  <w:r>
        <w:t>Шановні пані / панове,</w:t>
      </w:r>
    </w:p>
    <w:p w14:paraId="256E93B0" w14:textId="77777777" w:rsidR="003C72C0" w:rsidRDefault="003C72C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</w:p>
    <w:p w14:paraId="1E249B16" w14:textId="77777777" w:rsidR="003C72C0" w:rsidRDefault="008908FE">
      <w:pPr>
        <w:spacing w:after="0" w:line="240" w:lineRule="auto"/>
        <w:jc w:val="both"/>
      </w:pPr>
      <w:r>
        <w:t>Фонд ООН у галузі народонаселення запрошує Вас надати цінову пропозицію на наступні послуги:</w:t>
      </w:r>
    </w:p>
    <w:p w14:paraId="7D5E4DCA" w14:textId="77777777" w:rsidR="003C72C0" w:rsidRDefault="003C72C0">
      <w:pPr>
        <w:spacing w:after="0" w:line="240" w:lineRule="auto"/>
        <w:jc w:val="both"/>
      </w:pPr>
    </w:p>
    <w:p w14:paraId="25DB446E" w14:textId="7F580C59" w:rsidR="003C72C0" w:rsidRDefault="00AD30B7">
      <w:pPr>
        <w:spacing w:after="0"/>
        <w:jc w:val="center"/>
        <w:rPr>
          <w:b/>
        </w:rPr>
      </w:pPr>
      <w:r w:rsidRPr="00AD30B7">
        <w:rPr>
          <w:b/>
        </w:rPr>
        <w:t>SMM-підтримка сторінки кампанії із сексуальної освіти для підлітків</w:t>
      </w:r>
      <w:bookmarkStart w:id="1" w:name="_GoBack"/>
      <w:bookmarkEnd w:id="1"/>
    </w:p>
    <w:p w14:paraId="67DD0826" w14:textId="77777777" w:rsidR="003C72C0" w:rsidRPr="00AD30B7" w:rsidRDefault="003C72C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14:paraId="258E91FE" w14:textId="76AC0CED" w:rsidR="003C72C0" w:rsidRDefault="00AD30B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AD30B7"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69837E3C" w14:textId="77777777" w:rsidR="003C72C0" w:rsidRDefault="003C72C0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14:paraId="748EB024" w14:textId="77777777" w:rsidR="003C72C0" w:rsidRDefault="008908FE">
      <w:pPr>
        <w:spacing w:after="0" w:line="240" w:lineRule="auto"/>
        <w:jc w:val="both"/>
        <w:rPr>
          <w:b/>
        </w:rPr>
      </w:pPr>
      <w:r>
        <w:rPr>
          <w:b/>
        </w:rPr>
        <w:t>І. Про UNFPA</w:t>
      </w:r>
    </w:p>
    <w:p w14:paraId="210847F2" w14:textId="77777777" w:rsidR="003C72C0" w:rsidRDefault="003C72C0">
      <w:pPr>
        <w:spacing w:after="0" w:line="240" w:lineRule="auto"/>
        <w:ind w:left="360"/>
        <w:jc w:val="both"/>
        <w:rPr>
          <w:b/>
        </w:rPr>
      </w:pPr>
    </w:p>
    <w:p w14:paraId="55BCD3EC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ab/>
        <w:t xml:space="preserve">UNFPA, Фонд ООН у галузі народонаселення,  є міжнародною агенцію з розвитку, метою котрої є забезпечення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14:paraId="481AE9BD" w14:textId="77777777" w:rsidR="003C72C0" w:rsidRDefault="008908F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color w:val="0070C0"/>
            <w:u w:val="single"/>
          </w:rPr>
          <w:t>UNFPA about us</w:t>
        </w:r>
      </w:hyperlink>
      <w:r>
        <w:rPr>
          <w:color w:val="0070C0"/>
          <w:u w:val="single"/>
        </w:rPr>
        <w:t>.</w:t>
      </w:r>
    </w:p>
    <w:p w14:paraId="4B85CBCE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66E87700" w14:textId="77777777" w:rsidR="003C72C0" w:rsidRDefault="008908FE">
      <w:pPr>
        <w:rPr>
          <w:b/>
        </w:rPr>
      </w:pPr>
      <w:r>
        <w:rPr>
          <w:b/>
        </w:rPr>
        <w:t>Технічне завдання (ТЗ)</w:t>
      </w:r>
    </w:p>
    <w:p w14:paraId="7F2A1AAE" w14:textId="77777777" w:rsidR="003C72C0" w:rsidRDefault="008908FE">
      <w:pPr>
        <w:jc w:val="both"/>
        <w:rPr>
          <w:b/>
        </w:rPr>
      </w:pPr>
      <w:r>
        <w:rPr>
          <w:b/>
        </w:rPr>
        <w:t>Передумови та опис програми</w:t>
      </w:r>
    </w:p>
    <w:p w14:paraId="4243B133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Згідно з визначенням Міжнародного технічного керівництва з сексуальної освіти ЮНЕСКО, комплексна сексуальна освіта (англ. comprehensive sexuality education) – «це процес навчання, виховання та розвитку щодо когнітивних, емоційних, фізіологічних та соціальних аспектів сексуальності, що базується на основі навчальної програми». Її мета – забезпечити дітей та підлітків знаннями й навичками, що дозволяють їм підтримувати власне здоров’я та реалізовувати свої права, а також будувати шанобливі стосунки з іншими, бути відповідальними за власний добробут та добробут інших.</w:t>
      </w:r>
    </w:p>
    <w:p w14:paraId="39F1BACF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Зокрема, комплексна сексуальна освіта (КСО) відіграє превентивну роль щодо таких проблем як гендерно зумовлене насильство та гендерна нерівність, поширеність інфекцій, що передаються статевим шляхом, ВІЛ/СНІД, ранніх небажаних вагітностей тощо. КСО сприяє формуванню у дітей та молоді достовірних та таких, що відповідають віку, знань, ставлень та вмінь, позитивних цінностей, в тому числі таких, як повага до прав людини, ґендерної рівності та соціокультурного розмаїття, а також </w:t>
      </w:r>
      <w:r>
        <w:lastRenderedPageBreak/>
        <w:t>установок та навичок, необхідних для побудови безпечних, здорових та позитивних стосунків. Вона може бути як у формальних умовах (у навчальних закладах, зокрема закладах загальної середньої освіти), так і в неформальних (наприклад, у родині, у вигляді онлайн-курсів, тренінгів або лекцій).</w:t>
      </w:r>
    </w:p>
    <w:p w14:paraId="09986368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В Україні формальної сексуальної освіти де-юре не існує: у школах немає відповідного предмету, а поняття «сексуальна освіта» немає у законодавстві – зокрема, і в Законі України «Про загальну середню освіту». Фактично, елементи комплексної сексуальної освіти розпорошені між кількома обов’язковими предметами (Основи здоров’я», «Біологія», «Громадянська освіта») і факультативними курсами («Я – моє здоров’я – моє життя», «Захисти себе від ВІЛ»/«Школа проти СНІДу», «Дорослішай на здоров’я», «Повага. Любов. Секс», «Усвідомлене та відповідальне батьківство»). Проте ці знання не дають комплексного розуміння учням широкої теми сексуальної освіти, яка включає в себе не тільки вивчення будови статевих органів та різновидів засобів контрацепції, але і романтичні стосунки, ненасильницьке спілкування, культуру згоди.</w:t>
      </w:r>
    </w:p>
    <w:p w14:paraId="362A35D8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Згідно з дослідженням українських підлітків, проведеним у межах міжнародного проекту «Здоров’я та поведінкові орієнтації учнівської молоді України», у 2018 році серед 15-річних дівчат 6,6% уже мали досвід статевих стосунків, а серед 15-річних хлопців – 18,5%. Щодо сексуального дебюту, то це в середньому 15,1 років у дівчат та 14,4 років у хлопців.</w:t>
      </w:r>
    </w:p>
    <w:p w14:paraId="0C6067A1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При цьому, серед 15-річних, які мали досвід статевих стосунків, 23% не використовували ні презерватив, ні протизаплідні пігулки (дівчина або партнерка хлопця, якого опитували) під час останнього статевого акту. Наприклад в Нідерландах, де сексуальна освіта починається ще з дитячого садка, цей показник – 11%, найменше – лише 8% в Данії.</w:t>
      </w:r>
    </w:p>
    <w:p w14:paraId="69743BE4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За даними цього ж дослідження, учнівство 10-17 років передусім отримує знання про сексуальні стосунки з інтернету, рідше – від однолітків та з телепередач, і лише потім у переліку цих джерел йдуть батьки та вчительство. У той же час за даними дослідження UNFPA «Обізнаність та ставлення спільноти вчителів до комплексної сексуальної освіти», більшість батьків та вчителів позитивно ставляться до неформальної комплексної сексуальної освіти в родині та на позашкільних заходах. Родина, у якій виховується дитина, має забезпечувати сексуальну освіту – таку позицію підтримують 89% батьків та 92% вчителів/ок. Водночас значно менше матерів і татів (48%) позитивно ставляться до участі їхньої дитини у відповідних неформальних заходах поза школою, наприклад, у тренінгах, лекціях, онлайн-курсах.</w:t>
      </w:r>
    </w:p>
    <w:p w14:paraId="2B2A80B5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Наразі для підлітків в Україні існують кілька курсів з сексуальної освіти - курс Фонду Олени Пінчук “Сексуальна освіта” на Prometheus, курс “Біологія сексуальності” від студії Need, також онлайн-проєкт із сексуальної освіти для підлітків “Вперше”.</w:t>
      </w:r>
    </w:p>
    <w:p w14:paraId="1898624B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Існує необхідність у заповненні ніші неформальної освіти якісним освітнім контентом, який розміщуватиметься на доступних ресурсах, популярних серед молоді і матиме формат, який буде цікавим для молоді. Цей контент може також бути корисним для педагогів, профільних фахівців, недержавних організацій, спеціалістів, які працюють з підлітками та молоддю, в якості освітнього матеріалу.</w:t>
      </w:r>
    </w:p>
    <w:p w14:paraId="28FF961D" w14:textId="77777777" w:rsidR="00AD30B7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У 2022 році UNFPA запускатиме пілотний проєкт із відео роликами на тему сексуальної освіти. Ці ролики розміщуватимуться у соціальних мережах, якими зазвичай користуються підлітки. Зокрема, планується створення окремої сторінки в Instagram для просування цих роликів та широкого інформування цільової аудиторії з відповідної тематики.</w:t>
      </w:r>
    </w:p>
    <w:p w14:paraId="2CB893F7" w14:textId="702E9938" w:rsidR="001E4850" w:rsidRPr="00CB5C38" w:rsidRDefault="00AD30B7" w:rsidP="00AD30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t xml:space="preserve">UNFPA Україна запрошує постачальників послуг, які мають успішний досвід роботи у сфері комунікацій та надання SMM </w:t>
      </w:r>
      <w:r w:rsidRPr="000E4AB2">
        <w:t>послуг. Із постачальником буде укладено короткостроковий договір, згідно з яким постачальник надаватиме послуги.</w:t>
      </w:r>
      <w:r w:rsidR="00CB5C38">
        <w:t xml:space="preserve"> </w:t>
      </w:r>
    </w:p>
    <w:p w14:paraId="40114578" w14:textId="77777777" w:rsidR="003C72C0" w:rsidRDefault="003C72C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14:paraId="71A2E528" w14:textId="77777777" w:rsidR="003C72C0" w:rsidRDefault="008908FE">
      <w:pPr>
        <w:rPr>
          <w:b/>
        </w:rPr>
      </w:pPr>
      <w:r>
        <w:rPr>
          <w:b/>
        </w:rPr>
        <w:t xml:space="preserve">II. Методологія </w:t>
      </w:r>
    </w:p>
    <w:p w14:paraId="113E2433" w14:textId="77777777" w:rsidR="003C72C0" w:rsidRDefault="008908FE">
      <w:pPr>
        <w:jc w:val="both"/>
        <w:rPr>
          <w:b/>
        </w:rPr>
      </w:pPr>
      <w:r>
        <w:rPr>
          <w:b/>
        </w:rPr>
        <w:t>Мета</w:t>
      </w:r>
    </w:p>
    <w:p w14:paraId="2AE6BB57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u w:val="single"/>
        </w:rPr>
        <w:t xml:space="preserve">Мета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– ведення та просування Instagram сторінки для забезпечення підлітків науковою та об’єктивною інформацією у цікавому для них форматі, яка дасть змогу обдумано ухвалювати рішення та знизити ризики, пов’язані з репродуктивним та сексуальним  життям.</w:t>
      </w:r>
    </w:p>
    <w:p w14:paraId="70ADC09C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u w:val="single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u w:val="single"/>
        </w:rPr>
        <w:t>Завдання:</w:t>
      </w:r>
    </w:p>
    <w:p w14:paraId="54C30FDD" w14:textId="77777777" w:rsidR="00AD30B7" w:rsidRPr="00AD30B7" w:rsidRDefault="00AD30B7" w:rsidP="00F93822">
      <w:pPr>
        <w:numPr>
          <w:ilvl w:val="0"/>
          <w:numId w:val="16"/>
        </w:numP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Просування серед підлітків достовірної інформації на тему здорових стосунків, дорослішання, особистої безпеки, репродуктивного дозрівання, проблем контрацепції, незапланованої вагітності, питань сексуальної орієнтації, ризиків інфекційних уражень, ВІЛ та репродуктивного здоров’я;</w:t>
      </w:r>
    </w:p>
    <w:p w14:paraId="5A448067" w14:textId="77777777" w:rsidR="00AD30B7" w:rsidRPr="00AD30B7" w:rsidRDefault="00AD30B7" w:rsidP="00F93822">
      <w:pPr>
        <w:numPr>
          <w:ilvl w:val="0"/>
          <w:numId w:val="16"/>
        </w:numP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Надання психологічних та практичних порад щодо сексуального здоров’я;</w:t>
      </w:r>
    </w:p>
    <w:p w14:paraId="10FED792" w14:textId="77777777" w:rsidR="00AD30B7" w:rsidRPr="00AD30B7" w:rsidRDefault="00AD30B7" w:rsidP="00F93822">
      <w:pPr>
        <w:numPr>
          <w:ilvl w:val="0"/>
          <w:numId w:val="16"/>
        </w:numP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Розвінчування традиційних стереотипів та вкорінених міфів, пов’язаних з сексуальною освітою.</w:t>
      </w:r>
    </w:p>
    <w:p w14:paraId="1BA0C1F3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b/>
          <w:color w:val="000000" w:themeColor="text1"/>
          <w:highlight w:val="white"/>
          <w:u w:val="single"/>
          <w:lang w:val="ru-RU"/>
        </w:rPr>
      </w:pPr>
      <w:r w:rsidRPr="00AD30B7">
        <w:rPr>
          <w:rFonts w:asciiTheme="minorHAnsi" w:hAnsiTheme="minorHAnsi" w:cstheme="minorHAnsi"/>
          <w:b/>
          <w:color w:val="000000" w:themeColor="text1"/>
          <w:highlight w:val="white"/>
          <w:u w:val="single"/>
          <w:lang w:val="ru-RU"/>
        </w:rPr>
        <w:t>Цільова аудиторія (ЦА):</w:t>
      </w:r>
    </w:p>
    <w:p w14:paraId="013D4CD1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Сторінка має бути орієнтована на  дівчат та хлопців віком від 11 до 17 років. Діапазон таргетування може збільшуватися до 20 чи більше років. Зважаючи, що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Instagram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 не дає реєструватися дітям до 13 років, то інколи фактичний вказаний вік може відрізнятися від вказаного.</w:t>
      </w:r>
    </w:p>
    <w:p w14:paraId="27B8909F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Другорядна аудиторія -  батьки , які мають дітей-підлітків, педагоги та психологи, які працюють з підлітками </w:t>
      </w:r>
    </w:p>
    <w:p w14:paraId="6E90DB0F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b/>
          <w:color w:val="000000" w:themeColor="text1"/>
          <w:highlight w:val="white"/>
        </w:rPr>
        <w:t xml:space="preserve">Територія охоплення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 xml:space="preserve">- вся Україна. Можливий таргетинг на українських підлітків, які знаходяться за кордоном. </w:t>
      </w:r>
    </w:p>
    <w:p w14:paraId="4630B5BD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</w:rPr>
      </w:pPr>
    </w:p>
    <w:p w14:paraId="55B8E974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b/>
          <w:color w:val="000000" w:themeColor="text1"/>
          <w:highlight w:val="white"/>
          <w:lang w:val="ru-RU"/>
        </w:rPr>
      </w:pPr>
      <w:r w:rsidRPr="00AD30B7">
        <w:rPr>
          <w:rFonts w:asciiTheme="minorHAnsi" w:hAnsiTheme="minorHAnsi" w:cstheme="minorHAnsi"/>
          <w:b/>
          <w:color w:val="000000" w:themeColor="text1"/>
          <w:highlight w:val="white"/>
          <w:lang w:val="ru-RU"/>
        </w:rPr>
        <w:t>Обсяг роботи</w:t>
      </w:r>
    </w:p>
    <w:p w14:paraId="31E0E028" w14:textId="77777777" w:rsidR="00AD30B7" w:rsidRPr="00AD30B7" w:rsidRDefault="00AD30B7" w:rsidP="00F93822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b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b/>
          <w:color w:val="000000" w:themeColor="text1"/>
          <w:highlight w:val="white"/>
          <w:lang w:val="ru-RU"/>
        </w:rPr>
        <w:t>Очікується, що обраний постачальник послуг:</w:t>
      </w:r>
    </w:p>
    <w:p w14:paraId="1B043048" w14:textId="77777777" w:rsidR="00AD30B7" w:rsidRPr="000E4AB2" w:rsidRDefault="00AD30B7" w:rsidP="00AD30B7">
      <w:pPr>
        <w:numPr>
          <w:ilvl w:val="0"/>
          <w:numId w:val="17"/>
        </w:numPr>
        <w:pBdr>
          <w:bottom w:val="none" w:sz="0" w:space="7" w:color="auto"/>
        </w:pBd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підготує </w:t>
      </w:r>
      <w:r w:rsidRPr="00AD30B7">
        <w:rPr>
          <w:rFonts w:asciiTheme="minorHAnsi" w:hAnsiTheme="minorHAnsi" w:cstheme="minorHAnsi"/>
          <w:color w:val="000000" w:themeColor="text1"/>
          <w:highlight w:val="white"/>
          <w:lang w:val="ru-RU"/>
        </w:rPr>
        <w:t xml:space="preserve">стратегію і план реалізації створення та просування Інстаграм сторінки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на період з </w:t>
      </w:r>
      <w:r w:rsidRPr="00F93822">
        <w:rPr>
          <w:rFonts w:asciiTheme="minorHAnsi" w:eastAsia="Roboto" w:hAnsiTheme="minorHAnsi" w:cstheme="minorHAnsi"/>
          <w:color w:val="000000" w:themeColor="text1"/>
          <w:lang w:val="ru-RU"/>
        </w:rPr>
        <w:t xml:space="preserve">27 червня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2022 року </w:t>
      </w:r>
      <w:r w:rsidRPr="000E4AB2">
        <w:rPr>
          <w:rFonts w:asciiTheme="minorHAnsi" w:eastAsia="Roboto" w:hAnsiTheme="minorHAnsi" w:cstheme="minorHAnsi"/>
          <w:color w:val="000000" w:themeColor="text1"/>
          <w:lang w:val="ru-RU"/>
        </w:rPr>
        <w:t xml:space="preserve">до 31 грудня 2022 року. </w:t>
      </w:r>
    </w:p>
    <w:p w14:paraId="0ABCF428" w14:textId="77777777" w:rsidR="00AD30B7" w:rsidRPr="00AD30B7" w:rsidRDefault="00AD30B7" w:rsidP="00AD30B7">
      <w:pPr>
        <w:numPr>
          <w:ilvl w:val="0"/>
          <w:numId w:val="17"/>
        </w:numPr>
        <w:pBdr>
          <w:bottom w:val="none" w:sz="0" w:space="7" w:color="auto"/>
        </w:pBd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залучить до консультацій із написання публікацій та їх верифікації спеціаліста/ку із сексуальної освіти для дітей/підлітків (за погодженням із Замовником).</w:t>
      </w:r>
    </w:p>
    <w:p w14:paraId="0DEF4647" w14:textId="77777777" w:rsidR="00AD30B7" w:rsidRPr="00AD30B7" w:rsidRDefault="00AD30B7" w:rsidP="00AD30B7">
      <w:pPr>
        <w:numPr>
          <w:ilvl w:val="0"/>
          <w:numId w:val="17"/>
        </w:numPr>
        <w:pBdr>
          <w:bottom w:val="none" w:sz="0" w:space="7" w:color="auto"/>
        </w:pBd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Запропонує назву сторінки, візуальний стиль оформлення сторінки, постів та сторіз, який має бути гармонійним із розробленими роликами (будуть надані Замовником за запитом у разі зацікавленості участі в тендері).</w:t>
      </w:r>
    </w:p>
    <w:p w14:paraId="2F67B78F" w14:textId="77777777" w:rsidR="00AD30B7" w:rsidRPr="00AD30B7" w:rsidRDefault="00AD30B7" w:rsidP="00AD30B7">
      <w:pPr>
        <w:numPr>
          <w:ilvl w:val="0"/>
          <w:numId w:val="17"/>
        </w:numPr>
        <w:pBdr>
          <w:bottom w:val="none" w:sz="0" w:space="7" w:color="auto"/>
        </w:pBd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Запропонує лідерів думок, блогерів із необхідною аудиторією для потенційної колаборації чи реклами на їхніх сторінках (пропозиціям пробоно будуть надаватися переваги).</w:t>
      </w:r>
    </w:p>
    <w:p w14:paraId="38F9B168" w14:textId="77777777" w:rsidR="00AD30B7" w:rsidRPr="00AD30B7" w:rsidRDefault="00AD30B7" w:rsidP="00AD30B7">
      <w:pPr>
        <w:pBdr>
          <w:bottom w:val="none" w:sz="0" w:space="7" w:color="auto"/>
        </w:pBd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b/>
          <w:color w:val="000000" w:themeColor="text1"/>
          <w:highlight w:val="white"/>
          <w:u w:val="single"/>
          <w:lang w:val="ru-RU"/>
        </w:rPr>
      </w:pPr>
    </w:p>
    <w:p w14:paraId="5E17AF0F" w14:textId="77777777" w:rsidR="00AD30B7" w:rsidRPr="00AD30B7" w:rsidRDefault="00AD30B7" w:rsidP="00AD30B7">
      <w:pPr>
        <w:pBdr>
          <w:bottom w:val="none" w:sz="0" w:space="7" w:color="auto"/>
        </w:pBd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b/>
          <w:color w:val="000000" w:themeColor="text1"/>
          <w:highlight w:val="white"/>
          <w:lang w:val="ru-RU"/>
        </w:rPr>
        <w:t>Очікувані продукти для ведення сторінки:</w:t>
      </w:r>
    </w:p>
    <w:p w14:paraId="4DA3A8D7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1. Створити сторінку у мережі Інстаграм.</w:t>
      </w:r>
    </w:p>
    <w:p w14:paraId="1A912A82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2. Забезпечувати щомісячний план публікацій на наступний місяць (не пізніше 25 числа поточного місяця) та звіт за попередній місяць (не пізніше 5 числа наступного місяця за звітним). Звіт має включати такі показники: показник залученості (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ER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), кількість вподобань сторінки, підписників (з окремими кількостями підписників дівчат і хлопців та віковими групами), нових підписників, загальне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lastRenderedPageBreak/>
        <w:t>органічне і платне охоплення, кількість публікацій, загальна кількість лайків, коментарів, репостів, витрачений бюджет на рекламу.</w:t>
      </w:r>
    </w:p>
    <w:p w14:paraId="4E186E01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3. Забезпечувати оновлення сторінки: публікація затверджених постів, модерація, відповіді на коментарі та приватні повідомлення від користувачів. </w:t>
      </w:r>
    </w:p>
    <w:p w14:paraId="1A40FFB9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4. Забезпечувати промо постів для досягнення показників, узгоджених із замовником. </w:t>
      </w:r>
    </w:p>
    <w:p w14:paraId="4A9F0A23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5. Надати загальний звіт по показниках сторінок у соціальних мережах, та загальні висновки по досягненню цілей по закінченні терміну надання послуг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SMM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 підтримки.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D30B7" w:rsidRPr="00AD30B7" w14:paraId="6C84A6F0" w14:textId="77777777" w:rsidTr="008C2A2B">
        <w:trPr>
          <w:trHeight w:val="36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1304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b/>
                <w:color w:val="000000" w:themeColor="text1"/>
              </w:rPr>
            </w:pPr>
            <w:r w:rsidRPr="00AD30B7">
              <w:rPr>
                <w:rFonts w:asciiTheme="minorHAnsi" w:eastAsia="Roboto" w:hAnsiTheme="minorHAnsi" w:cstheme="minorHAnsi"/>
                <w:b/>
                <w:color w:val="000000" w:themeColor="text1"/>
              </w:rPr>
              <w:t>Активності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4443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b/>
                <w:color w:val="000000" w:themeColor="text1"/>
              </w:rPr>
            </w:pPr>
            <w:r w:rsidRPr="00AD30B7">
              <w:rPr>
                <w:rFonts w:asciiTheme="minorHAnsi" w:eastAsia="Roboto" w:hAnsiTheme="minorHAnsi" w:cstheme="minorHAnsi"/>
                <w:b/>
                <w:color w:val="000000" w:themeColor="text1"/>
              </w:rPr>
              <w:t>Цілі, які треба досягнути</w:t>
            </w:r>
          </w:p>
        </w:tc>
      </w:tr>
      <w:tr w:rsidR="00AD30B7" w:rsidRPr="00AD30B7" w14:paraId="4264DFD5" w14:textId="77777777" w:rsidTr="008C2A2B">
        <w:trPr>
          <w:trHeight w:val="4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34E8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Мінімум 5 постів у стрічці та 5 сторіз у фірмовому стилі на тиждень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7B87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3000 підписників до 1 вересня 2022 року</w:t>
            </w:r>
          </w:p>
          <w:p w14:paraId="2B4EBC51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</w:p>
          <w:p w14:paraId="069B33D7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8000 підписників до 20 грудня 2022 року.</w:t>
            </w:r>
          </w:p>
          <w:p w14:paraId="0B206C5E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</w:p>
          <w:p w14:paraId="75E9FA88" w14:textId="77777777" w:rsidR="00AD30B7" w:rsidRPr="00AD30B7" w:rsidRDefault="00AD30B7" w:rsidP="008C2A2B">
            <w:pPr>
              <w:widowControl w:val="0"/>
              <w:pBdr>
                <w:bottom w:val="none" w:sz="0" w:space="7" w:color="auto"/>
              </w:pBdr>
              <w:shd w:val="clear" w:color="auto" w:fill="FFFFFF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Забезпечити показник залученості (</w:t>
            </w: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ER</w:t>
            </w: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) не менше 4 (лайки+коментарі+репости / охоплення*100)</w:t>
            </w:r>
          </w:p>
          <w:p w14:paraId="2C3D2FF0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</w:p>
        </w:tc>
      </w:tr>
      <w:tr w:rsidR="00AD30B7" w:rsidRPr="00AD30B7" w14:paraId="015E9C63" w14:textId="77777777" w:rsidTr="008C2A2B">
        <w:trPr>
          <w:trHeight w:val="4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B975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Залучення лідерів думок/блогерів та експертів для спільних постів чи реклами (перевага надаватиметься на розміщенні на партнерських засадах або тих блогерів/-ок, які зацікавлені у темі)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977F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</w:p>
        </w:tc>
      </w:tr>
      <w:tr w:rsidR="00AD30B7" w:rsidRPr="00AD30B7" w14:paraId="400BFFC8" w14:textId="77777777" w:rsidTr="008C2A2B">
        <w:trPr>
          <w:trHeight w:val="4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CC0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Рекламні публікації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90B9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</w:p>
        </w:tc>
      </w:tr>
      <w:tr w:rsidR="00AD30B7" w:rsidRPr="00AD30B7" w14:paraId="7AA3658A" w14:textId="77777777" w:rsidTr="008C2A2B">
        <w:trPr>
          <w:trHeight w:val="4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7379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Флешмоби, конкурси, інші формати залучення (у разі необхідності)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BE4D" w14:textId="77777777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</w:p>
        </w:tc>
      </w:tr>
    </w:tbl>
    <w:p w14:paraId="63130F23" w14:textId="77777777" w:rsidR="00AD30B7" w:rsidRPr="00AD30B7" w:rsidRDefault="00AD30B7" w:rsidP="00AD30B7">
      <w:pPr>
        <w:shd w:val="clear" w:color="auto" w:fill="FFFFFF"/>
        <w:spacing w:line="360" w:lineRule="auto"/>
        <w:jc w:val="both"/>
        <w:rPr>
          <w:rFonts w:asciiTheme="minorHAnsi" w:eastAsia="Roboto" w:hAnsiTheme="minorHAnsi" w:cstheme="minorHAnsi"/>
          <w:b/>
          <w:color w:val="000000" w:themeColor="text1"/>
          <w:highlight w:val="white"/>
        </w:rPr>
      </w:pPr>
    </w:p>
    <w:p w14:paraId="39C39D7F" w14:textId="77777777" w:rsidR="00AD30B7" w:rsidRPr="00AD30B7" w:rsidRDefault="00AD30B7" w:rsidP="00AD30B7">
      <w:pPr>
        <w:shd w:val="clear" w:color="auto" w:fill="FFFFFF"/>
        <w:spacing w:line="360" w:lineRule="auto"/>
        <w:jc w:val="both"/>
        <w:rPr>
          <w:rFonts w:asciiTheme="minorHAnsi" w:eastAsia="Roboto" w:hAnsiTheme="minorHAnsi" w:cstheme="minorHAnsi"/>
          <w:b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b/>
          <w:color w:val="000000" w:themeColor="text1"/>
          <w:highlight w:val="white"/>
        </w:rPr>
        <w:t>Оплата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265"/>
        <w:gridCol w:w="3120"/>
      </w:tblGrid>
      <w:tr w:rsidR="00AD30B7" w:rsidRPr="00AD30B7" w14:paraId="43D36C20" w14:textId="77777777" w:rsidTr="008C2A2B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D0FA" w14:textId="77777777" w:rsidR="00AD30B7" w:rsidRPr="00AD30B7" w:rsidRDefault="00AD30B7" w:rsidP="008C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D75F" w14:textId="77777777" w:rsidR="00AD30B7" w:rsidRPr="00AD30B7" w:rsidRDefault="00AD30B7" w:rsidP="008C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Послуги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151B" w14:textId="77777777" w:rsidR="00AD30B7" w:rsidRPr="00AD30B7" w:rsidRDefault="00AD30B7" w:rsidP="008C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Умови та терміни оплати</w:t>
            </w:r>
          </w:p>
        </w:tc>
      </w:tr>
      <w:tr w:rsidR="00AD30B7" w:rsidRPr="00AD30B7" w14:paraId="288835C0" w14:textId="77777777" w:rsidTr="008C2A2B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CDC3" w14:textId="77777777" w:rsidR="00AD30B7" w:rsidRPr="00AD30B7" w:rsidRDefault="00AD30B7" w:rsidP="008C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1.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65E9" w14:textId="4591CBE4" w:rsidR="00AD30B7" w:rsidRPr="00AD30B7" w:rsidRDefault="00AD30B7" w:rsidP="008C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 xml:space="preserve">Звіт щодо наданих послуг у рамках вимог ТЗ  за період із </w:t>
            </w:r>
            <w:r w:rsidRPr="00DD221E">
              <w:rPr>
                <w:rFonts w:asciiTheme="minorHAnsi" w:eastAsia="Roboto" w:hAnsiTheme="minorHAnsi" w:cstheme="minorHAnsi"/>
                <w:color w:val="000000" w:themeColor="text1"/>
                <w:lang w:val="ru-RU"/>
              </w:rPr>
              <w:t xml:space="preserve">27 червня </w:t>
            </w: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до 30 вересня</w:t>
            </w:r>
            <w:r w:rsidR="00DD221E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 xml:space="preserve"> 2022 року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A511" w14:textId="2CBA2DD7" w:rsidR="00AD30B7" w:rsidRPr="00AD30B7" w:rsidRDefault="00AD30B7" w:rsidP="008C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Оплата 50%</w:t>
            </w:r>
            <w:r w:rsidR="00DD221E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 xml:space="preserve"> від суми договору</w:t>
            </w:r>
          </w:p>
        </w:tc>
      </w:tr>
      <w:tr w:rsidR="00AD30B7" w:rsidRPr="00AD30B7" w14:paraId="56306D21" w14:textId="77777777" w:rsidTr="008C2A2B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BF8D" w14:textId="77777777" w:rsidR="00AD30B7" w:rsidRPr="00AD30B7" w:rsidRDefault="00AD30B7" w:rsidP="008C2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2.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2B90" w14:textId="0547C0C0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>Звіт щодо наданих послуг у рамках вимог ТЗ  за період із 1 жовтня до 31 грудня</w:t>
            </w:r>
            <w:r w:rsidR="00DD221E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 xml:space="preserve"> 2022 року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F4A6" w14:textId="7D7D4B65" w:rsidR="00AD30B7" w:rsidRPr="00AD30B7" w:rsidRDefault="00AD30B7" w:rsidP="008C2A2B">
            <w:pPr>
              <w:widowControl w:val="0"/>
              <w:spacing w:line="240" w:lineRule="auto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Оплата 50%</w:t>
            </w:r>
            <w:r w:rsidR="00DD221E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 xml:space="preserve"> від суми договору</w:t>
            </w:r>
          </w:p>
        </w:tc>
      </w:tr>
    </w:tbl>
    <w:p w14:paraId="4014405C" w14:textId="77777777" w:rsidR="003C72C0" w:rsidRPr="00AD30B7" w:rsidRDefault="003C72C0">
      <w:pPr>
        <w:jc w:val="both"/>
        <w:rPr>
          <w:b/>
          <w:color w:val="000000" w:themeColor="text1"/>
        </w:rPr>
      </w:pPr>
    </w:p>
    <w:p w14:paraId="63F5CECE" w14:textId="77777777" w:rsidR="003C72C0" w:rsidRPr="00AD30B7" w:rsidRDefault="008908FE">
      <w:pPr>
        <w:jc w:val="both"/>
        <w:rPr>
          <w:b/>
          <w:color w:val="000000" w:themeColor="text1"/>
        </w:rPr>
      </w:pPr>
      <w:r w:rsidRPr="00AD30B7">
        <w:rPr>
          <w:b/>
          <w:color w:val="000000" w:themeColor="text1"/>
        </w:rPr>
        <w:t>Інтелектуальна власність</w:t>
      </w:r>
    </w:p>
    <w:p w14:paraId="680B9651" w14:textId="77777777" w:rsidR="003C72C0" w:rsidRDefault="008908FE">
      <w:pPr>
        <w:ind w:firstLine="720"/>
        <w:jc w:val="both"/>
      </w:pPr>
      <w:r>
        <w:t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1F928755" w14:textId="77777777" w:rsidR="003C72C0" w:rsidRDefault="008908FE">
      <w:pPr>
        <w:jc w:val="both"/>
        <w:rPr>
          <w:b/>
        </w:rPr>
      </w:pPr>
      <w:r>
        <w:rPr>
          <w:b/>
        </w:rPr>
        <w:t>Вимоги щодо кваліфікації</w:t>
      </w:r>
    </w:p>
    <w:p w14:paraId="316B6F6B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lastRenderedPageBreak/>
        <w:t>UNFPA шукає постачальника послуг із перевіреним досвідом у соціальних медіа комунікаціях, особливо, у соціальній сфері, а також із хорошим знанням українського медіа та рекламних ринків.</w:t>
      </w:r>
    </w:p>
    <w:p w14:paraId="019E3317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 xml:space="preserve">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Постачальник послуг повинен:</w:t>
      </w:r>
    </w:p>
    <w:p w14:paraId="2D1ABD51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- бути резидентом  або мати юридичне представництво в Україні з відповідною офіційною реєстрацією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(включно із реєстрацією як фізична особа-підприємець);</w:t>
      </w:r>
    </w:p>
    <w:p w14:paraId="75DD9C99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- працювати в сфері медіа розміщення/комунікацій/маркетингу не менше 2 років;</w:t>
      </w:r>
    </w:p>
    <w:p w14:paraId="51CD8C8F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- мати досвід роботи у сфері комунікацій/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SMM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 та інтернет медіа;</w:t>
      </w:r>
    </w:p>
    <w:p w14:paraId="55962CA1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- мати можливість створення візуального контенту для соціальних мереж відповідно до стилістики проєктів;</w:t>
      </w:r>
    </w:p>
    <w:p w14:paraId="7D3AFECA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- попередній досвід співпраці з агентством ООН або іншою міжнародною організацією є перевагою;</w:t>
      </w:r>
    </w:p>
    <w:p w14:paraId="5B4D9793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- демонструвати здатність дотримуватися часових рамок, працювати під тиском та вимірювати результати;</w:t>
      </w:r>
    </w:p>
    <w:p w14:paraId="4ABCB68C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 xml:space="preserve">- мати високий рівень володіння українською мовою </w:t>
      </w: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>(особливо письмово) та володіти англійською мовою.</w:t>
      </w:r>
    </w:p>
    <w:p w14:paraId="44B3F206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</w:rPr>
        <w:t xml:space="preserve"> </w:t>
      </w:r>
    </w:p>
    <w:p w14:paraId="4658AFDD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hAnsiTheme="minorHAnsi" w:cstheme="minorHAnsi"/>
          <w:b/>
          <w:color w:val="000000" w:themeColor="text1"/>
          <w:highlight w:val="white"/>
          <w:lang w:val="ru-RU"/>
        </w:rPr>
      </w:pPr>
      <w:r w:rsidRPr="00AD30B7">
        <w:rPr>
          <w:rFonts w:asciiTheme="minorHAnsi" w:hAnsiTheme="minorHAnsi" w:cstheme="minorHAnsi"/>
          <w:b/>
          <w:color w:val="000000" w:themeColor="text1"/>
          <w:highlight w:val="white"/>
          <w:lang w:val="ru-RU"/>
        </w:rPr>
        <w:t>Питання</w:t>
      </w:r>
    </w:p>
    <w:p w14:paraId="535F8966" w14:textId="77777777" w:rsidR="00AD30B7" w:rsidRPr="00AD30B7" w:rsidRDefault="00AD30B7" w:rsidP="00AD30B7">
      <w:pPr>
        <w:shd w:val="clear" w:color="auto" w:fill="FFFFFF"/>
        <w:spacing w:after="120" w:line="240" w:lineRule="auto"/>
        <w:ind w:firstLine="720"/>
        <w:jc w:val="both"/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</w:pPr>
      <w:r w:rsidRPr="00AD30B7">
        <w:rPr>
          <w:rFonts w:asciiTheme="minorHAnsi" w:eastAsia="Roboto" w:hAnsiTheme="minorHAnsi" w:cstheme="minorHAnsi"/>
          <w:color w:val="000000" w:themeColor="text1"/>
          <w:highlight w:val="white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tbl>
      <w:tblPr>
        <w:tblW w:w="9359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730"/>
        <w:gridCol w:w="4629"/>
      </w:tblGrid>
      <w:tr w:rsidR="00AD30B7" w:rsidRPr="00AD30B7" w14:paraId="7DDB6A55" w14:textId="77777777" w:rsidTr="00AD30B7">
        <w:trPr>
          <w:trHeight w:val="20"/>
        </w:trPr>
        <w:tc>
          <w:tcPr>
            <w:tcW w:w="47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BE583" w14:textId="4AC26E08" w:rsidR="00AD30B7" w:rsidRPr="00AD30B7" w:rsidRDefault="00AD30B7" w:rsidP="00AD30B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  <w:lang w:val="ru-RU"/>
              </w:rPr>
              <w:t xml:space="preserve"> </w:t>
            </w: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Контактна особа:</w:t>
            </w:r>
          </w:p>
        </w:tc>
        <w:tc>
          <w:tcPr>
            <w:tcW w:w="462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0BE8F" w14:textId="77777777" w:rsidR="00AD30B7" w:rsidRPr="00AD30B7" w:rsidRDefault="00AD30B7" w:rsidP="00AD30B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Марина Семененко</w:t>
            </w:r>
          </w:p>
        </w:tc>
      </w:tr>
      <w:tr w:rsidR="00AD30B7" w:rsidRPr="00AD30B7" w14:paraId="1E4FCDAC" w14:textId="77777777" w:rsidTr="00AD30B7">
        <w:trPr>
          <w:trHeight w:val="262"/>
        </w:trPr>
        <w:tc>
          <w:tcPr>
            <w:tcW w:w="473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B3EC8" w14:textId="77777777" w:rsidR="00AD30B7" w:rsidRPr="00AD30B7" w:rsidRDefault="00AD30B7" w:rsidP="00AD30B7">
            <w:pPr>
              <w:shd w:val="clear" w:color="auto" w:fill="FFFFFF"/>
              <w:spacing w:after="120" w:line="240" w:lineRule="auto"/>
              <w:ind w:firstLine="720"/>
              <w:jc w:val="both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AD30B7"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  <w:t>Електронна адреса: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45AE5" w14:textId="77777777" w:rsidR="00AD30B7" w:rsidRPr="00AD30B7" w:rsidRDefault="00AD30B7" w:rsidP="00AD30B7">
            <w:pPr>
              <w:shd w:val="clear" w:color="auto" w:fill="FFFFFF"/>
              <w:spacing w:after="120" w:line="240" w:lineRule="auto"/>
              <w:ind w:firstLine="720"/>
              <w:rPr>
                <w:rFonts w:asciiTheme="minorHAnsi" w:eastAsia="Roboto" w:hAnsiTheme="minorHAnsi" w:cstheme="minorHAnsi"/>
                <w:color w:val="000000" w:themeColor="text1"/>
                <w:highlight w:val="white"/>
              </w:rPr>
            </w:pPr>
            <w:r w:rsidRPr="00DD221E">
              <w:rPr>
                <w:rFonts w:asciiTheme="minorHAnsi" w:eastAsia="Roboto" w:hAnsiTheme="minorHAnsi" w:cstheme="minorHAnsi"/>
                <w:color w:val="0070C0"/>
                <w:highlight w:val="white"/>
              </w:rPr>
              <w:t>semenenko@unfpa.org</w:t>
            </w:r>
          </w:p>
        </w:tc>
      </w:tr>
    </w:tbl>
    <w:p w14:paraId="0417D279" w14:textId="3A9DF7A3" w:rsidR="003C72C0" w:rsidRDefault="008908FE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>Де</w:t>
      </w:r>
      <w:r w:rsidR="007C6C59">
        <w:t xml:space="preserve">длайн для запитань: п’ятниця, </w:t>
      </w:r>
      <w:r w:rsidR="00DD221E">
        <w:rPr>
          <w:lang w:val="ru-RU"/>
        </w:rPr>
        <w:t>17</w:t>
      </w:r>
      <w:r w:rsidR="007C6C59">
        <w:t xml:space="preserve"> </w:t>
      </w:r>
      <w:r w:rsidR="00DD221E">
        <w:t>червня</w:t>
      </w:r>
      <w:r w:rsidR="00956A90">
        <w:t>, 2022</w:t>
      </w:r>
      <w:r>
        <w:t>, 17:00 год  за Київським часом.</w:t>
      </w:r>
    </w:p>
    <w:p w14:paraId="20F20F8D" w14:textId="77777777" w:rsidR="003C72C0" w:rsidRDefault="003C72C0">
      <w:pPr>
        <w:spacing w:after="0" w:line="240" w:lineRule="auto"/>
        <w:jc w:val="both"/>
        <w:rPr>
          <w:b/>
        </w:rPr>
      </w:pPr>
    </w:p>
    <w:p w14:paraId="014B526B" w14:textId="77777777" w:rsidR="003C72C0" w:rsidRDefault="003C72C0">
      <w:pPr>
        <w:spacing w:after="0" w:line="240" w:lineRule="auto"/>
        <w:jc w:val="both"/>
        <w:rPr>
          <w:b/>
        </w:rPr>
      </w:pPr>
    </w:p>
    <w:p w14:paraId="41A57D35" w14:textId="77777777" w:rsidR="003C72C0" w:rsidRDefault="008908FE">
      <w:pPr>
        <w:rPr>
          <w:b/>
        </w:rPr>
      </w:pPr>
      <w:r>
        <w:rPr>
          <w:b/>
        </w:rPr>
        <w:t>III. Зміст пропозицій</w:t>
      </w:r>
    </w:p>
    <w:p w14:paraId="1D5243F8" w14:textId="6BD98389" w:rsidR="00AD30B7" w:rsidRDefault="00AD30B7" w:rsidP="00AD30B7">
      <w:pPr>
        <w:spacing w:after="0"/>
        <w:jc w:val="both"/>
      </w:pPr>
      <w:r>
        <w:t>Пропозиції мають надсилатися електронною поштою, за можлив</w:t>
      </w:r>
      <w:r w:rsidR="00DD221E">
        <w:t>і</w:t>
      </w:r>
      <w:r>
        <w:t xml:space="preserve">стю, одним повідомленням, залежно від розміру файлу та мають вміщувати: </w:t>
      </w:r>
    </w:p>
    <w:p w14:paraId="78064846" w14:textId="77777777" w:rsidR="00AD30B7" w:rsidRDefault="00AD30B7" w:rsidP="00AD30B7">
      <w:pPr>
        <w:spacing w:after="0"/>
        <w:jc w:val="both"/>
      </w:pPr>
      <w:r>
        <w:t xml:space="preserve"> </w:t>
      </w:r>
    </w:p>
    <w:p w14:paraId="240F94B3" w14:textId="77777777" w:rsidR="00AD30B7" w:rsidRDefault="00AD30B7" w:rsidP="00AD30B7">
      <w:pPr>
        <w:spacing w:after="0"/>
        <w:jc w:val="both"/>
      </w:pPr>
      <w:r>
        <w:t>а) Технічну пропозицію, що повинна містити презентацію, яка дозволить оцінити підхід спеціаліста (-ки) / агентства за критеріями, що подані нижче. Зокрема, презентація має містити:</w:t>
      </w:r>
    </w:p>
    <w:p w14:paraId="04C866D4" w14:textId="12980DE4" w:rsidR="00AD30B7" w:rsidRDefault="00DD221E" w:rsidP="00AD30B7">
      <w:pPr>
        <w:spacing w:after="0"/>
        <w:jc w:val="both"/>
      </w:pPr>
      <w:r>
        <w:t xml:space="preserve">- </w:t>
      </w:r>
      <w:r w:rsidR="00AD30B7">
        <w:t>4 приклади постів та сторіз для сторінки кампанії в Instagram</w:t>
      </w:r>
    </w:p>
    <w:p w14:paraId="171D97A7" w14:textId="6E59A5B0" w:rsidR="00AD30B7" w:rsidRDefault="00DD221E" w:rsidP="00AD30B7">
      <w:pPr>
        <w:spacing w:after="0"/>
        <w:jc w:val="both"/>
      </w:pPr>
      <w:r>
        <w:t xml:space="preserve">- </w:t>
      </w:r>
      <w:r w:rsidR="00AD30B7">
        <w:t>короткий опис пропонованої рекламної стратегії для досягнення цілей сторінки</w:t>
      </w:r>
    </w:p>
    <w:p w14:paraId="654FA3D4" w14:textId="0036442E" w:rsidR="00AD30B7" w:rsidRDefault="00DD221E" w:rsidP="00AD30B7">
      <w:pPr>
        <w:spacing w:after="0"/>
        <w:jc w:val="both"/>
      </w:pPr>
      <w:r>
        <w:t xml:space="preserve">- </w:t>
      </w:r>
      <w:r w:rsidR="00AD30B7">
        <w:t>опис досвіду спеціаліста (-ки) / команди через мінімум 2 успішні кейси,</w:t>
      </w:r>
    </w:p>
    <w:p w14:paraId="3B4CE4C4" w14:textId="3CE25A46" w:rsidR="00AD30B7" w:rsidRDefault="00DD221E" w:rsidP="00AD30B7">
      <w:pPr>
        <w:spacing w:after="0"/>
        <w:jc w:val="both"/>
      </w:pPr>
      <w:r>
        <w:t xml:space="preserve">- </w:t>
      </w:r>
      <w:r w:rsidR="00AD30B7">
        <w:t>загальне знайомство із спеціалістом (-кою) / командою та відомості про те, чи є досвід роботи із іншими міжнародними організаціями.</w:t>
      </w:r>
    </w:p>
    <w:p w14:paraId="0FF10A7F" w14:textId="77777777" w:rsidR="00AD30B7" w:rsidRPr="00AD30B7" w:rsidRDefault="00AD30B7" w:rsidP="00AD30B7">
      <w:pPr>
        <w:spacing w:after="0"/>
        <w:jc w:val="both"/>
        <w:rPr>
          <w:b/>
        </w:rPr>
      </w:pPr>
      <w:r w:rsidRPr="00AD30B7">
        <w:rPr>
          <w:b/>
        </w:rPr>
        <w:t xml:space="preserve"> Технічна пропозиція має бути подана в електронному вигляді на пошту, сказану у розділі IV.</w:t>
      </w:r>
    </w:p>
    <w:p w14:paraId="2D2C7511" w14:textId="77777777" w:rsidR="00AD30B7" w:rsidRDefault="00AD30B7" w:rsidP="00AD30B7">
      <w:pPr>
        <w:spacing w:after="0"/>
        <w:jc w:val="both"/>
      </w:pPr>
      <w:r>
        <w:t>б) Подану виключно згідно відповідного бланку цінову пропозицію.</w:t>
      </w:r>
    </w:p>
    <w:p w14:paraId="1D93D93B" w14:textId="77777777" w:rsidR="00AD30B7" w:rsidRDefault="00AD30B7" w:rsidP="00AD30B7">
      <w:pPr>
        <w:spacing w:after="0"/>
        <w:jc w:val="both"/>
      </w:pPr>
      <w:r>
        <w:t>Мова пропозиції англійська або українська.</w:t>
      </w:r>
    </w:p>
    <w:p w14:paraId="4C016DEC" w14:textId="77777777" w:rsidR="00AD30B7" w:rsidRPr="00AD30B7" w:rsidRDefault="00AD30B7" w:rsidP="00AD30B7">
      <w:pPr>
        <w:spacing w:after="0"/>
        <w:jc w:val="both"/>
        <w:rPr>
          <w:b/>
          <w:color w:val="000000" w:themeColor="text1"/>
        </w:rPr>
      </w:pPr>
      <w:r w:rsidRPr="00AD30B7">
        <w:rPr>
          <w:b/>
          <w:color w:val="000000" w:themeColor="text1"/>
        </w:rPr>
        <w:t>Технічна та цінова пропозиція мають бути надіслані окремими файлами та бути підписані відповідним керівником компанії та надіслані у форматі PDF.</w:t>
      </w:r>
    </w:p>
    <w:p w14:paraId="3C72C265" w14:textId="581E4BE4" w:rsidR="003C72C0" w:rsidRPr="00AD30B7" w:rsidRDefault="003C72C0">
      <w:pPr>
        <w:spacing w:after="0"/>
        <w:jc w:val="both"/>
        <w:rPr>
          <w:b/>
        </w:rPr>
      </w:pPr>
    </w:p>
    <w:p w14:paraId="1998818C" w14:textId="77777777" w:rsidR="003C72C0" w:rsidRDefault="003C72C0">
      <w:pPr>
        <w:tabs>
          <w:tab w:val="left" w:pos="6630"/>
          <w:tab w:val="left" w:pos="9120"/>
        </w:tabs>
        <w:spacing w:after="0" w:line="240" w:lineRule="auto"/>
      </w:pPr>
    </w:p>
    <w:p w14:paraId="0AAE9E12" w14:textId="77777777" w:rsidR="003C72C0" w:rsidRDefault="008908FE">
      <w:pPr>
        <w:rPr>
          <w:b/>
        </w:rPr>
      </w:pPr>
      <w:r>
        <w:rPr>
          <w:b/>
        </w:rPr>
        <w:t>IV. Інструкції для подання</w:t>
      </w:r>
    </w:p>
    <w:p w14:paraId="67F2D395" w14:textId="291E0E43" w:rsidR="003C72C0" w:rsidRDefault="008908FE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color w:val="000000"/>
        </w:rPr>
      </w:pPr>
      <w:r>
        <w:lastRenderedPageBreak/>
        <w:t>Пропозиції мають бути підготовлені згідно Розділу III і IV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="007C6C59">
        <w:rPr>
          <w:b/>
        </w:rPr>
        <w:t xml:space="preserve"> </w:t>
      </w:r>
      <w:r w:rsidR="00DD221E">
        <w:rPr>
          <w:b/>
        </w:rPr>
        <w:t>четвер</w:t>
      </w:r>
      <w:r w:rsidR="007C6C59">
        <w:rPr>
          <w:b/>
        </w:rPr>
        <w:t xml:space="preserve">, </w:t>
      </w:r>
      <w:r w:rsidR="00DD221E">
        <w:rPr>
          <w:b/>
        </w:rPr>
        <w:t>23</w:t>
      </w:r>
      <w:r w:rsidR="00A55D8A">
        <w:rPr>
          <w:b/>
        </w:rPr>
        <w:t xml:space="preserve"> </w:t>
      </w:r>
      <w:r w:rsidR="00DD221E">
        <w:rPr>
          <w:b/>
        </w:rPr>
        <w:t>червня</w:t>
      </w:r>
      <w:r w:rsidR="00A55D8A">
        <w:rPr>
          <w:b/>
        </w:rPr>
        <w:t xml:space="preserve"> 2022</w:t>
      </w:r>
      <w:r>
        <w:rPr>
          <w:b/>
        </w:rPr>
        <w:t>, 1</w:t>
      </w:r>
      <w:r w:rsidR="00DD221E">
        <w:rPr>
          <w:b/>
        </w:rPr>
        <w:t>7</w:t>
      </w:r>
      <w:r>
        <w:rPr>
          <w:b/>
        </w:rPr>
        <w:t xml:space="preserve">:00 за Київським часом. </w:t>
      </w:r>
      <w:r>
        <w:t>Пропозиції надіслані на будь-яку іншу електронну пошту не будуть прийняті до розгляду.</w:t>
      </w:r>
    </w:p>
    <w:tbl>
      <w:tblPr>
        <w:tblStyle w:val="ab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3C72C0" w14:paraId="31B5FC29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9ABDA10" w14:textId="77777777" w:rsidR="003C72C0" w:rsidRDefault="0089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Контактна особа:</w:t>
            </w:r>
          </w:p>
        </w:tc>
        <w:tc>
          <w:tcPr>
            <w:tcW w:w="5012" w:type="dxa"/>
            <w:shd w:val="clear" w:color="auto" w:fill="auto"/>
          </w:tcPr>
          <w:p w14:paraId="00D976FA" w14:textId="77777777" w:rsidR="003C72C0" w:rsidRDefault="008908FE">
            <w:r>
              <w:rPr>
                <w:i/>
              </w:rPr>
              <w:t>Ірина Богун</w:t>
            </w:r>
          </w:p>
        </w:tc>
      </w:tr>
      <w:tr w:rsidR="003C72C0" w14:paraId="57494062" w14:textId="7777777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D97723C" w14:textId="77777777" w:rsidR="003C72C0" w:rsidRDefault="0089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14:paraId="260635C3" w14:textId="77777777" w:rsidR="003C72C0" w:rsidRDefault="008908FE">
            <w:pPr>
              <w:rPr>
                <w:b/>
              </w:rPr>
            </w:pPr>
            <w:r>
              <w:rPr>
                <w:b/>
              </w:rPr>
              <w:t>ua-procurement@unfpa.org</w:t>
            </w:r>
          </w:p>
        </w:tc>
      </w:tr>
    </w:tbl>
    <w:p w14:paraId="3037DD2F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6A2D33AE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632491B8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Зверніть увагу на наступні інструкції щодо електронного подання:</w:t>
      </w:r>
    </w:p>
    <w:p w14:paraId="0CF7352F" w14:textId="14AD339B" w:rsidR="003C72C0" w:rsidRPr="00C851ED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  <w:lang w:val="ru-RU"/>
        </w:rPr>
      </w:pPr>
      <w:r>
        <w:rPr>
          <w:b/>
          <w:color w:val="000000"/>
        </w:rPr>
        <w:t>Тема повідомлення має включати таке посил</w:t>
      </w:r>
      <w:r w:rsidR="00C851ED">
        <w:rPr>
          <w:b/>
          <w:color w:val="000000"/>
        </w:rPr>
        <w:t>ання: RFQ Nº UNFPA/UKR/RFQ/22/</w:t>
      </w:r>
      <w:r w:rsidR="00F93822">
        <w:rPr>
          <w:b/>
          <w:color w:val="000000"/>
          <w:lang w:val="ru-RU"/>
        </w:rPr>
        <w:t>14</w:t>
      </w:r>
    </w:p>
    <w:p w14:paraId="02C010CA" w14:textId="77777777" w:rsidR="003C72C0" w:rsidRDefault="008908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1D50B827" w14:textId="77777777" w:rsidR="003C72C0" w:rsidRDefault="008908F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Загальний обсяг повідомлення, що надсилається не має перевищувати </w:t>
      </w:r>
      <w:r>
        <w:rPr>
          <w:b/>
          <w:color w:val="000000"/>
        </w:rPr>
        <w:t>20 MB (у тому числі, сам лист, надані додатки та заголовки)</w:t>
      </w:r>
      <w:r>
        <w:rPr>
          <w:color w:val="000000"/>
        </w:rPr>
        <w:t>. При великих розмірах файлу з технічним описом, останні мають надсилатися окремо до кінцевого строку подання пропозицій.</w:t>
      </w:r>
    </w:p>
    <w:p w14:paraId="3CB56E70" w14:textId="77777777" w:rsidR="003C72C0" w:rsidRDefault="003C72C0">
      <w:pPr>
        <w:spacing w:after="0" w:line="240" w:lineRule="auto"/>
        <w:jc w:val="both"/>
        <w:rPr>
          <w:b/>
        </w:rPr>
      </w:pPr>
    </w:p>
    <w:p w14:paraId="175A86FF" w14:textId="77777777" w:rsidR="003C72C0" w:rsidRDefault="008908FE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14:paraId="06F9A2FB" w14:textId="6ECE9236" w:rsidR="003C72C0" w:rsidRDefault="008908FE">
      <w:pPr>
        <w:spacing w:after="0" w:line="240" w:lineRule="auto"/>
        <w:jc w:val="both"/>
      </w:pPr>
      <w:r>
        <w:t>Спеціалізована оціночна комісія проводитим</w:t>
      </w:r>
      <w:r w:rsidR="001450F4">
        <w:t>е оцінку пропозицій у два етапи: т</w:t>
      </w:r>
      <w:r>
        <w:t>ехнічні пропозиції будуть розглянуті на відповідність вимогам та порівняння цінових пропозицій.</w:t>
      </w:r>
    </w:p>
    <w:p w14:paraId="31EE2F75" w14:textId="77777777" w:rsidR="003C72C0" w:rsidRDefault="003C72C0">
      <w:pPr>
        <w:spacing w:after="0" w:line="240" w:lineRule="auto"/>
        <w:jc w:val="both"/>
      </w:pPr>
    </w:p>
    <w:p w14:paraId="199F5ECB" w14:textId="77777777" w:rsidR="003C72C0" w:rsidRDefault="008908FE">
      <w:pPr>
        <w:jc w:val="both"/>
        <w:rPr>
          <w:b/>
        </w:rPr>
      </w:pPr>
      <w:r>
        <w:rPr>
          <w:b/>
        </w:rPr>
        <w:t>Teхнічна оцінка (максимально 100 балів)</w:t>
      </w:r>
    </w:p>
    <w:p w14:paraId="12044992" w14:textId="01ECD60B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Технічні пропозиції будуть оцінені згідно з умовами, вказаними в розділі про вимоги до надання послуг/ Розділ II Технічного завдання, та відповідно до критері</w:t>
      </w:r>
      <w:r w:rsidR="001450F4">
        <w:rPr>
          <w:color w:val="000000"/>
        </w:rPr>
        <w:t>їв</w:t>
      </w:r>
      <w:r>
        <w:rPr>
          <w:color w:val="000000"/>
        </w:rPr>
        <w:t xml:space="preserve"> оцінки, що подані нижче.</w:t>
      </w:r>
    </w:p>
    <w:p w14:paraId="498725E1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ac"/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3275"/>
        <w:gridCol w:w="1517"/>
        <w:gridCol w:w="1286"/>
        <w:gridCol w:w="1014"/>
        <w:gridCol w:w="2531"/>
      </w:tblGrid>
      <w:tr w:rsidR="003C72C0" w14:paraId="50F9377A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0C4F949" w14:textId="77777777" w:rsidR="003C72C0" w:rsidRDefault="008908FE">
            <w:pPr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F9C4978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9BB8CA3" w14:textId="77777777" w:rsidR="003C72C0" w:rsidRDefault="008908FE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14:paraId="1B0F0F6D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BCF83A5" w14:textId="77777777" w:rsidR="003C72C0" w:rsidRDefault="008908FE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14:paraId="52FA0983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D4BC5BF" w14:textId="77777777" w:rsidR="003C72C0" w:rsidRDefault="008908FE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14:paraId="3EEE2473" w14:textId="77777777" w:rsidR="003C72C0" w:rsidRDefault="008908FE">
            <w:pPr>
              <w:spacing w:before="60" w:after="60"/>
              <w:jc w:val="center"/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F93822" w14:paraId="7F0D553F" w14:textId="77777777" w:rsidTr="00223815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D22C26" w14:textId="5B5C946B" w:rsidR="00F93822" w:rsidRDefault="00F93822" w:rsidP="00F93822">
            <w:pPr>
              <w:spacing w:line="280" w:lineRule="auto"/>
              <w:jc w:val="both"/>
            </w:pPr>
            <w:r w:rsidRPr="000B2D65">
              <w:t>Якість запропонованих прикладів публікацій та релевантність до тематики і ЦА сторінки (включаючи тексти та запропоновані якість ілюстрацій)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465B4" w14:textId="3F1AE64F" w:rsidR="00F93822" w:rsidRDefault="00F93822" w:rsidP="00F93822">
            <w:pPr>
              <w:spacing w:before="60" w:after="60"/>
              <w:jc w:val="center"/>
            </w:pPr>
            <w:r w:rsidRPr="000B2D65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EE7133" w14:textId="06022837" w:rsidR="00F93822" w:rsidRDefault="00F93822" w:rsidP="00F93822">
            <w:pPr>
              <w:spacing w:before="60" w:after="60"/>
            </w:pPr>
            <w:r w:rsidRPr="000B2D65">
              <w:t xml:space="preserve"> 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97DF5" w14:textId="32C245CF" w:rsidR="00F93822" w:rsidRDefault="00F93822" w:rsidP="00F93822">
            <w:pPr>
              <w:spacing w:before="60" w:after="60"/>
              <w:jc w:val="center"/>
            </w:pPr>
            <w:r w:rsidRPr="000B2D65">
              <w:t>40%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E1DDF9" w14:textId="77777777" w:rsidR="00F93822" w:rsidRDefault="00F93822" w:rsidP="00F93822">
            <w:pPr>
              <w:spacing w:before="60" w:after="60"/>
              <w:jc w:val="center"/>
            </w:pPr>
          </w:p>
        </w:tc>
      </w:tr>
      <w:tr w:rsidR="00F93822" w14:paraId="336CE440" w14:textId="77777777" w:rsidTr="00223815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C5024" w14:textId="3E582F67" w:rsidR="00F93822" w:rsidRDefault="00F93822" w:rsidP="00F93822">
            <w:pPr>
              <w:spacing w:line="280" w:lineRule="auto"/>
              <w:jc w:val="both"/>
              <w:rPr>
                <w:highlight w:val="white"/>
              </w:rPr>
            </w:pPr>
            <w:r w:rsidRPr="000B2D65">
              <w:t>Успішний досвід спеціаліста/-ки або команди у веденні сторінок соціального спрямування в соціальних мережах (оцінка описаних кейсів)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EB5177" w14:textId="446595B2" w:rsidR="00F93822" w:rsidRDefault="00F93822" w:rsidP="00F93822">
            <w:pPr>
              <w:spacing w:before="60" w:after="60"/>
              <w:jc w:val="center"/>
            </w:pPr>
            <w:r w:rsidRPr="000B2D65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A11AA5" w14:textId="082C99A5" w:rsidR="00F93822" w:rsidRDefault="00F93822" w:rsidP="00F93822">
            <w:pPr>
              <w:spacing w:before="60" w:after="60"/>
            </w:pPr>
            <w:r w:rsidRPr="000B2D65">
              <w:t xml:space="preserve"> 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812AA" w14:textId="05EAC864" w:rsidR="00F93822" w:rsidRDefault="00F93822" w:rsidP="00F93822">
            <w:pPr>
              <w:spacing w:before="60" w:after="60"/>
              <w:jc w:val="center"/>
            </w:pPr>
            <w:r w:rsidRPr="000B2D65">
              <w:t>25%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410516" w14:textId="77777777" w:rsidR="00F93822" w:rsidRDefault="00F93822" w:rsidP="00F93822">
            <w:pPr>
              <w:spacing w:before="60" w:after="60"/>
              <w:jc w:val="center"/>
            </w:pPr>
          </w:p>
        </w:tc>
      </w:tr>
      <w:tr w:rsidR="00F93822" w14:paraId="79DF5CF1" w14:textId="77777777" w:rsidTr="00223815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7D3B1F" w14:textId="429252C0" w:rsidR="00F93822" w:rsidRDefault="00F93822" w:rsidP="00F93822">
            <w:pPr>
              <w:spacing w:line="280" w:lineRule="auto"/>
              <w:jc w:val="both"/>
            </w:pPr>
            <w:r w:rsidRPr="000B2D65">
              <w:t>Стратегія просування для досягнення заданих цілей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52063B" w14:textId="204E5745" w:rsidR="00F93822" w:rsidRDefault="00F93822" w:rsidP="00F93822">
            <w:pPr>
              <w:spacing w:before="60" w:after="60"/>
              <w:jc w:val="center"/>
            </w:pPr>
            <w:r w:rsidRPr="000B2D65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C5C38D" w14:textId="7876C337" w:rsidR="00F93822" w:rsidRDefault="00F93822" w:rsidP="00F93822">
            <w:pPr>
              <w:spacing w:before="60" w:after="60"/>
            </w:pPr>
            <w:r w:rsidRPr="000B2D65">
              <w:t xml:space="preserve"> 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EBC1F4" w14:textId="55476B16" w:rsidR="00F93822" w:rsidRDefault="00F93822" w:rsidP="00F93822">
            <w:pPr>
              <w:spacing w:before="60" w:after="60"/>
              <w:jc w:val="center"/>
            </w:pPr>
            <w:r w:rsidRPr="000B2D65">
              <w:t>15%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7C7D4B" w14:textId="77777777" w:rsidR="00F93822" w:rsidRDefault="00F93822" w:rsidP="00F93822">
            <w:pPr>
              <w:spacing w:before="60" w:after="60"/>
              <w:jc w:val="center"/>
            </w:pPr>
          </w:p>
        </w:tc>
      </w:tr>
      <w:tr w:rsidR="00F93822" w14:paraId="47C33979" w14:textId="77777777" w:rsidTr="00223815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FD7A52" w14:textId="5847004F" w:rsidR="00F93822" w:rsidRDefault="00F93822" w:rsidP="00F93822">
            <w:pPr>
              <w:spacing w:line="280" w:lineRule="auto"/>
              <w:jc w:val="both"/>
            </w:pPr>
            <w:r w:rsidRPr="000B2D65">
              <w:t>Історія, загальна репутація, компетенція та надійність Підрядника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4A5D7F" w14:textId="5BC9C3D5" w:rsidR="00F93822" w:rsidRDefault="00F93822" w:rsidP="00F93822">
            <w:pPr>
              <w:spacing w:before="60" w:after="60"/>
              <w:jc w:val="center"/>
            </w:pPr>
            <w:r w:rsidRPr="000B2D65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F1DCCD" w14:textId="666AAE0D" w:rsidR="00F93822" w:rsidRDefault="00F93822" w:rsidP="00F93822">
            <w:pPr>
              <w:spacing w:before="60" w:after="60"/>
            </w:pPr>
            <w:r w:rsidRPr="000B2D65">
              <w:t xml:space="preserve"> 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B0947D" w14:textId="201CFED3" w:rsidR="00F93822" w:rsidRDefault="00F93822" w:rsidP="00F93822">
            <w:pPr>
              <w:spacing w:before="60" w:after="60"/>
              <w:jc w:val="center"/>
            </w:pPr>
            <w:r w:rsidRPr="000B2D65">
              <w:t>10%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3D6E74" w14:textId="77777777" w:rsidR="00F93822" w:rsidRDefault="00F93822" w:rsidP="00F93822">
            <w:pPr>
              <w:spacing w:before="60" w:after="60"/>
              <w:jc w:val="center"/>
            </w:pPr>
          </w:p>
        </w:tc>
      </w:tr>
      <w:tr w:rsidR="00F93822" w14:paraId="5603C913" w14:textId="77777777" w:rsidTr="00223815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0AEED" w14:textId="2EC09A3D" w:rsidR="00F93822" w:rsidRDefault="00F93822" w:rsidP="00F93822">
            <w:pPr>
              <w:spacing w:line="280" w:lineRule="auto"/>
            </w:pPr>
            <w:bookmarkStart w:id="2" w:name="_heading=h.30j0zll" w:colFirst="0" w:colLast="0"/>
            <w:bookmarkEnd w:id="2"/>
            <w:r w:rsidRPr="000B2D65">
              <w:lastRenderedPageBreak/>
              <w:t>Якість підготовки матеріалів поданої на конкурс пропозиції (клікабельність і доступ до посилань, відсутність орфографічних помилок і т.п.)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C37705" w14:textId="018C6E7B" w:rsidR="00F93822" w:rsidRDefault="00F93822" w:rsidP="00F93822">
            <w:pPr>
              <w:spacing w:before="60" w:after="60"/>
              <w:jc w:val="center"/>
            </w:pPr>
            <w:r w:rsidRPr="000B2D65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B9A1C7" w14:textId="037709B4" w:rsidR="00F93822" w:rsidRDefault="00F93822" w:rsidP="00F93822">
            <w:pPr>
              <w:spacing w:before="60" w:after="60"/>
            </w:pPr>
            <w:r w:rsidRPr="000B2D65">
              <w:t xml:space="preserve"> 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03A85" w14:textId="2BAE00AA" w:rsidR="00F93822" w:rsidRDefault="00F93822" w:rsidP="00F93822">
            <w:pPr>
              <w:spacing w:before="60" w:after="60"/>
              <w:jc w:val="center"/>
            </w:pPr>
            <w:r w:rsidRPr="000B2D65">
              <w:t>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1B119" w14:textId="77777777" w:rsidR="00F93822" w:rsidRDefault="00F93822" w:rsidP="00F93822">
            <w:pPr>
              <w:spacing w:before="60" w:after="60"/>
              <w:jc w:val="center"/>
            </w:pPr>
          </w:p>
        </w:tc>
      </w:tr>
      <w:tr w:rsidR="00F93822" w14:paraId="266B40D4" w14:textId="77777777" w:rsidTr="00223815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45B232" w14:textId="69F96E90" w:rsidR="00F93822" w:rsidRDefault="00F93822" w:rsidP="00F93822">
            <w:pPr>
              <w:spacing w:line="280" w:lineRule="auto"/>
            </w:pPr>
            <w:r w:rsidRPr="000B2D65">
              <w:t>Підтверджений досвід роботи із міжнародними організаціями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D20F45" w14:textId="018B4B9C" w:rsidR="00F93822" w:rsidRDefault="00F93822" w:rsidP="00F93822">
            <w:pPr>
              <w:spacing w:before="60" w:after="60"/>
              <w:jc w:val="center"/>
            </w:pPr>
            <w:r w:rsidRPr="000B2D65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A07B25" w14:textId="57E04D14" w:rsidR="00F93822" w:rsidRDefault="00F93822" w:rsidP="00F93822">
            <w:pPr>
              <w:spacing w:before="60" w:after="60"/>
            </w:pPr>
            <w:r w:rsidRPr="000B2D65">
              <w:t xml:space="preserve"> 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A1134E" w14:textId="556B6E07" w:rsidR="00F93822" w:rsidRDefault="00F93822" w:rsidP="00F93822">
            <w:pPr>
              <w:spacing w:before="60" w:after="60"/>
              <w:jc w:val="center"/>
            </w:pPr>
            <w:r w:rsidRPr="000B2D65">
              <w:t>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6E8183" w14:textId="77777777" w:rsidR="00F93822" w:rsidRDefault="00F93822" w:rsidP="00F93822">
            <w:pPr>
              <w:spacing w:before="60" w:after="60"/>
              <w:jc w:val="center"/>
            </w:pPr>
          </w:p>
        </w:tc>
      </w:tr>
      <w:tr w:rsidR="003C72C0" w14:paraId="5163FA7B" w14:textId="7777777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BA2CE5E" w14:textId="77777777" w:rsidR="003C72C0" w:rsidRDefault="008908FE">
            <w:pPr>
              <w:spacing w:before="60" w:after="60"/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2FD3E5AF" w14:textId="77777777" w:rsidR="003C72C0" w:rsidRDefault="008908FE">
            <w:pPr>
              <w:spacing w:before="60" w:after="60"/>
              <w:jc w:val="center"/>
            </w:pPr>
            <w:r>
              <w:rPr>
                <w:b/>
              </w:rPr>
              <w:t>600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F1F3606" w14:textId="77777777" w:rsidR="003C72C0" w:rsidRDefault="003C72C0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B688103" w14:textId="77777777" w:rsidR="003C72C0" w:rsidRDefault="008908FE">
            <w:pPr>
              <w:spacing w:before="60" w:after="60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32A1B3F" w14:textId="77777777" w:rsidR="003C72C0" w:rsidRDefault="003C72C0">
            <w:pPr>
              <w:spacing w:before="60" w:after="60"/>
              <w:jc w:val="center"/>
            </w:pPr>
          </w:p>
        </w:tc>
      </w:tr>
    </w:tbl>
    <w:p w14:paraId="038D1C2D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2E3A67AE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11A854AE" w14:textId="77777777" w:rsidR="003C72C0" w:rsidRDefault="008908FE">
      <w:r>
        <w:t>Наступна шкала оцінювання буде використана для забезпечення об'єктивної оцінки:</w:t>
      </w:r>
    </w:p>
    <w:tbl>
      <w:tblPr>
        <w:tblStyle w:val="ad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3C72C0" w14:paraId="4D8E02BB" w14:textId="777777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6238" w14:textId="77777777" w:rsidR="003C72C0" w:rsidRDefault="008908FE"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AB01" w14:textId="77777777" w:rsidR="003C72C0" w:rsidRDefault="008908FE">
            <w:pPr>
              <w:jc w:val="center"/>
            </w:pPr>
            <w:r>
              <w:t>Бали зі 100</w:t>
            </w:r>
          </w:p>
        </w:tc>
      </w:tr>
      <w:tr w:rsidR="003C72C0" w14:paraId="559085CF" w14:textId="77777777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A7B3" w14:textId="77777777" w:rsidR="003C72C0" w:rsidRDefault="008908FE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5E89" w14:textId="77777777" w:rsidR="003C72C0" w:rsidRDefault="008908FE">
            <w:pPr>
              <w:jc w:val="center"/>
            </w:pPr>
            <w:r>
              <w:t>90 – 100</w:t>
            </w:r>
          </w:p>
        </w:tc>
      </w:tr>
      <w:tr w:rsidR="003C72C0" w14:paraId="325E3CC8" w14:textId="777777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4073" w14:textId="77777777" w:rsidR="003C72C0" w:rsidRDefault="008908FE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44FC" w14:textId="77777777" w:rsidR="003C72C0" w:rsidRDefault="008908FE">
            <w:pPr>
              <w:jc w:val="center"/>
            </w:pPr>
            <w:r>
              <w:t xml:space="preserve">80 – 89 </w:t>
            </w:r>
          </w:p>
        </w:tc>
      </w:tr>
      <w:tr w:rsidR="003C72C0" w14:paraId="2F3902C6" w14:textId="777777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9833" w14:textId="77777777" w:rsidR="003C72C0" w:rsidRDefault="008908FE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CAAC" w14:textId="77777777" w:rsidR="003C72C0" w:rsidRDefault="008908FE">
            <w:pPr>
              <w:jc w:val="center"/>
            </w:pPr>
            <w:r>
              <w:t>70 – 79</w:t>
            </w:r>
          </w:p>
        </w:tc>
      </w:tr>
      <w:tr w:rsidR="003C72C0" w14:paraId="2E4E0070" w14:textId="777777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3B0D" w14:textId="77777777" w:rsidR="003C72C0" w:rsidRDefault="008908FE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2262" w14:textId="77777777" w:rsidR="003C72C0" w:rsidRDefault="008908FE">
            <w:pPr>
              <w:jc w:val="center"/>
            </w:pPr>
            <w:r>
              <w:t>до 70</w:t>
            </w:r>
          </w:p>
        </w:tc>
      </w:tr>
    </w:tbl>
    <w:p w14:paraId="0173A5D4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4CAD6106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14:paraId="32700710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0ECBB4A0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37DD205D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392F5924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Style w:val="ae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325"/>
        <w:gridCol w:w="3768"/>
      </w:tblGrid>
      <w:tr w:rsidR="003C72C0" w14:paraId="354FD525" w14:textId="77777777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687B8D3F" w14:textId="77777777" w:rsidR="003C72C0" w:rsidRDefault="008908FE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14:paraId="66E69B8D" w14:textId="77777777" w:rsidR="003C72C0" w:rsidRDefault="008908FE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3768" w:type="dxa"/>
            <w:vMerge w:val="restart"/>
            <w:vAlign w:val="center"/>
          </w:tcPr>
          <w:p w14:paraId="37EA5F1E" w14:textId="77777777" w:rsidR="003C72C0" w:rsidRDefault="008908FE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3C72C0" w14:paraId="0EC5B688" w14:textId="77777777">
        <w:trPr>
          <w:trHeight w:val="610"/>
          <w:jc w:val="center"/>
        </w:trPr>
        <w:tc>
          <w:tcPr>
            <w:tcW w:w="2124" w:type="dxa"/>
            <w:vMerge/>
            <w:vAlign w:val="center"/>
          </w:tcPr>
          <w:p w14:paraId="52B0BEB6" w14:textId="77777777" w:rsidR="003C72C0" w:rsidRDefault="003C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14:paraId="619136E3" w14:textId="77777777" w:rsidR="003C72C0" w:rsidRDefault="008908FE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3768" w:type="dxa"/>
            <w:vMerge/>
            <w:vAlign w:val="center"/>
          </w:tcPr>
          <w:p w14:paraId="1AF39C73" w14:textId="77777777" w:rsidR="003C72C0" w:rsidRDefault="003C7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51F82F36" w14:textId="77777777" w:rsidR="003C72C0" w:rsidRDefault="008908FE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14:paraId="3938001C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tbl>
      <w:tblPr>
        <w:tblStyle w:val="af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3C72C0" w14:paraId="3E717014" w14:textId="77777777">
        <w:trPr>
          <w:trHeight w:val="540"/>
          <w:jc w:val="center"/>
        </w:trPr>
        <w:tc>
          <w:tcPr>
            <w:tcW w:w="6523" w:type="dxa"/>
            <w:vAlign w:val="center"/>
          </w:tcPr>
          <w:p w14:paraId="346915AD" w14:textId="77777777" w:rsidR="003C72C0" w:rsidRDefault="008908FE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14:paraId="20E58E21" w14:textId="77777777" w:rsidR="003C72C0" w:rsidRDefault="003C72C0">
      <w:pPr>
        <w:spacing w:after="0" w:line="240" w:lineRule="auto"/>
        <w:jc w:val="both"/>
        <w:rPr>
          <w:b/>
        </w:rPr>
      </w:pPr>
    </w:p>
    <w:p w14:paraId="218A39D1" w14:textId="77777777" w:rsidR="003C72C0" w:rsidRPr="000E4AB2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VI. Визначення </w:t>
      </w:r>
      <w:r w:rsidRPr="000E4AB2">
        <w:rPr>
          <w:b/>
        </w:rPr>
        <w:t xml:space="preserve">переможця </w:t>
      </w:r>
    </w:p>
    <w:p w14:paraId="4ED8D8BF" w14:textId="22ACC1A4" w:rsidR="003C72C0" w:rsidRPr="000E4AB2" w:rsidRDefault="004B74E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80" w:after="80" w:line="240" w:lineRule="auto"/>
        <w:jc w:val="both"/>
        <w:rPr>
          <w:color w:val="000000"/>
        </w:rPr>
      </w:pPr>
      <w:r w:rsidRPr="000E4AB2">
        <w:rPr>
          <w:color w:val="000000"/>
        </w:rPr>
        <w:t>Договір на термін до 31</w:t>
      </w:r>
      <w:r w:rsidR="008908FE" w:rsidRPr="000E4AB2">
        <w:rPr>
          <w:color w:val="000000"/>
        </w:rPr>
        <w:t xml:space="preserve"> </w:t>
      </w:r>
      <w:r w:rsidRPr="000E4AB2">
        <w:t>грудня</w:t>
      </w:r>
      <w:r w:rsidR="008908FE" w:rsidRPr="000E4AB2">
        <w:rPr>
          <w:color w:val="000000"/>
        </w:rPr>
        <w:t xml:space="preserve"> 202</w:t>
      </w:r>
      <w:r w:rsidRPr="000E4AB2">
        <w:t>2</w:t>
      </w:r>
      <w:r w:rsidR="008908FE" w:rsidRPr="000E4AB2">
        <w:rPr>
          <w:color w:val="000000"/>
        </w:rPr>
        <w:t xml:space="preserve"> року між UNFPA та постачальником буде укладено з тим претендентом, чия пропозиція </w:t>
      </w:r>
      <w:r w:rsidR="009972F4" w:rsidRPr="000E4AB2">
        <w:rPr>
          <w:color w:val="000000"/>
        </w:rPr>
        <w:t>набере найвищій бал за сумарною оцінкою</w:t>
      </w:r>
      <w:r w:rsidR="008908FE" w:rsidRPr="000E4AB2">
        <w:rPr>
          <w:color w:val="000000"/>
        </w:rPr>
        <w:t xml:space="preserve"> та буде відповідати вимогам документації конкурсних торгів.</w:t>
      </w:r>
    </w:p>
    <w:p w14:paraId="6FFFFEB6" w14:textId="77777777" w:rsidR="003C72C0" w:rsidRDefault="008908FE">
      <w:pPr>
        <w:spacing w:before="80" w:after="80" w:line="240" w:lineRule="auto"/>
        <w:jc w:val="both"/>
        <w:rPr>
          <w:b/>
        </w:rPr>
      </w:pPr>
      <w:r w:rsidRPr="000E4AB2">
        <w:rPr>
          <w:b/>
        </w:rPr>
        <w:t>VII. Право на змінення вимог під час</w:t>
      </w:r>
      <w:r>
        <w:rPr>
          <w:b/>
        </w:rPr>
        <w:t xml:space="preserve"> прийняття рішень</w:t>
      </w:r>
    </w:p>
    <w:p w14:paraId="4ADB7877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0" w:after="80" w:line="276" w:lineRule="auto"/>
        <w:ind w:hanging="720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t>Фонд ООН у галузі народонаселення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60A939E1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VIII. Умови оплати</w:t>
      </w:r>
    </w:p>
    <w:p w14:paraId="571E65F9" w14:textId="77777777" w:rsidR="003C72C0" w:rsidRDefault="008908FE">
      <w:pPr>
        <w:tabs>
          <w:tab w:val="left" w:pos="-180"/>
          <w:tab w:val="left" w:pos="-90"/>
        </w:tabs>
        <w:spacing w:before="80" w:after="80"/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0">
        <w:r w:rsidRPr="00F93822">
          <w:rPr>
            <w:color w:val="0070C0"/>
          </w:rP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443AD740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IX. </w:t>
      </w:r>
      <w:hyperlink r:id="rId11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14:paraId="20608B44" w14:textId="77777777" w:rsidR="003C72C0" w:rsidRDefault="008908FE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color w:val="000000"/>
        </w:rPr>
      </w:pPr>
      <w:r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2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32CB8173" w14:textId="77777777" w:rsidR="003C72C0" w:rsidRDefault="008908FE">
      <w:pPr>
        <w:spacing w:before="80" w:after="80"/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4431F923" w14:textId="77777777" w:rsidR="003C72C0" w:rsidRDefault="008908FE">
      <w:pPr>
        <w:spacing w:before="80" w:after="80"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3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14:paraId="4C2F7DD2" w14:textId="77777777" w:rsidR="003C72C0" w:rsidRDefault="003C72C0">
      <w:pPr>
        <w:spacing w:before="80" w:after="80" w:line="240" w:lineRule="auto"/>
        <w:jc w:val="both"/>
        <w:rPr>
          <w:b/>
        </w:rPr>
      </w:pPr>
    </w:p>
    <w:p w14:paraId="54FAAD6A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14:paraId="2FDBAA54" w14:textId="77777777" w:rsidR="003C72C0" w:rsidRDefault="008908FE">
      <w:pPr>
        <w:spacing w:before="80" w:after="80"/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4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192224CC" w14:textId="77777777" w:rsidR="003C72C0" w:rsidRDefault="003C72C0">
      <w:pPr>
        <w:spacing w:before="80" w:after="80" w:line="240" w:lineRule="auto"/>
        <w:jc w:val="both"/>
        <w:rPr>
          <w:b/>
        </w:rPr>
      </w:pPr>
    </w:p>
    <w:p w14:paraId="4DEA5623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14:paraId="31F7671D" w14:textId="77777777" w:rsidR="003C72C0" w:rsidRDefault="008908FE">
      <w:pPr>
        <w:tabs>
          <w:tab w:val="left" w:pos="851"/>
        </w:tabs>
        <w:spacing w:before="80" w:after="80"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5">
        <w:r>
          <w:t>kompaniiets@unfpa.org</w:t>
        </w:r>
      </w:hyperlink>
      <w: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>
        <w:rPr>
          <w:color w:val="003366"/>
          <w:u w:val="single"/>
        </w:rPr>
        <w:t xml:space="preserve"> </w:t>
      </w:r>
      <w:hyperlink r:id="rId16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7B3B9AAC" w14:textId="77777777" w:rsidR="003C72C0" w:rsidRDefault="003C72C0">
      <w:pPr>
        <w:tabs>
          <w:tab w:val="left" w:pos="851"/>
        </w:tabs>
        <w:spacing w:before="80" w:after="80" w:line="276" w:lineRule="auto"/>
        <w:jc w:val="both"/>
      </w:pPr>
    </w:p>
    <w:p w14:paraId="38A9C234" w14:textId="77777777" w:rsidR="003C72C0" w:rsidRDefault="008908FE">
      <w:pPr>
        <w:spacing w:before="80" w:after="80" w:line="240" w:lineRule="auto"/>
        <w:jc w:val="both"/>
        <w:rPr>
          <w:b/>
        </w:rPr>
      </w:pPr>
      <w:r>
        <w:rPr>
          <w:b/>
        </w:rPr>
        <w:t>XII. Зауваження</w:t>
      </w:r>
    </w:p>
    <w:p w14:paraId="638C1955" w14:textId="77777777" w:rsidR="003C72C0" w:rsidRDefault="008908FE">
      <w:pPr>
        <w:spacing w:before="80" w:after="80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10B4C6EC" w14:textId="77777777" w:rsidR="003C72C0" w:rsidRDefault="008908FE">
      <w:pPr>
        <w:rPr>
          <w:b/>
          <w:smallCaps/>
        </w:rPr>
      </w:pPr>
      <w:r>
        <w:lastRenderedPageBreak/>
        <w:br w:type="page"/>
      </w:r>
    </w:p>
    <w:p w14:paraId="023FF493" w14:textId="77777777" w:rsidR="003C72C0" w:rsidRDefault="008908FE">
      <w:r>
        <w:rPr>
          <w:b/>
          <w:smallCaps/>
        </w:rPr>
        <w:lastRenderedPageBreak/>
        <w:t>БЛАНК ЦІНОВОЇ ПРОПОЗИЦІЇ</w:t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44165F" w:rsidRPr="00B1020A" w14:paraId="3B9F4A3F" w14:textId="77777777" w:rsidTr="00D4740D">
        <w:trPr>
          <w:jc w:val="center"/>
        </w:trPr>
        <w:tc>
          <w:tcPr>
            <w:tcW w:w="562" w:type="dxa"/>
          </w:tcPr>
          <w:p w14:paraId="7E760DDD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11FED937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78DFC541" w14:textId="77777777" w:rsidR="0044165F" w:rsidRPr="00B1020A" w:rsidRDefault="0044165F" w:rsidP="00D4740D">
            <w:pPr>
              <w:spacing w:after="0" w:line="240" w:lineRule="auto"/>
              <w:jc w:val="center"/>
            </w:pPr>
          </w:p>
        </w:tc>
      </w:tr>
      <w:tr w:rsidR="0044165F" w:rsidRPr="00B1020A" w14:paraId="32FF0D3A" w14:textId="77777777" w:rsidTr="00D4740D">
        <w:trPr>
          <w:jc w:val="center"/>
        </w:trPr>
        <w:tc>
          <w:tcPr>
            <w:tcW w:w="562" w:type="dxa"/>
          </w:tcPr>
          <w:p w14:paraId="68F021A2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5F474061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4B7DC518" w14:textId="77777777" w:rsidR="0044165F" w:rsidRPr="00B1020A" w:rsidRDefault="0044165F" w:rsidP="00D4740D">
            <w:pPr>
              <w:spacing w:after="0" w:line="240" w:lineRule="auto"/>
              <w:ind w:right="673"/>
              <w:jc w:val="center"/>
            </w:pPr>
            <w:r w:rsidRPr="00B1020A">
              <w:rPr>
                <w:color w:val="808080"/>
              </w:rPr>
              <w:t>Click here to enter a date.</w:t>
            </w:r>
          </w:p>
        </w:tc>
      </w:tr>
      <w:tr w:rsidR="0044165F" w:rsidRPr="00B1020A" w14:paraId="556705C9" w14:textId="77777777" w:rsidTr="00D4740D">
        <w:trPr>
          <w:jc w:val="center"/>
        </w:trPr>
        <w:tc>
          <w:tcPr>
            <w:tcW w:w="562" w:type="dxa"/>
          </w:tcPr>
          <w:p w14:paraId="7DAB25EF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9DB470C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5C416FB3" w14:textId="73DC16C2" w:rsidR="0044165F" w:rsidRPr="00B1020A" w:rsidRDefault="0044165F" w:rsidP="0044165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904B8">
              <w:rPr>
                <w:b/>
                <w:color w:val="000000"/>
              </w:rPr>
              <w:t>UNFPA/UKR/RFQ/22/</w:t>
            </w:r>
            <w:r w:rsidR="00F93822">
              <w:rPr>
                <w:b/>
                <w:color w:val="000000"/>
              </w:rPr>
              <w:t>14</w:t>
            </w:r>
          </w:p>
        </w:tc>
      </w:tr>
      <w:tr w:rsidR="0044165F" w:rsidRPr="00B1020A" w14:paraId="10BFFB18" w14:textId="77777777" w:rsidTr="00D4740D">
        <w:trPr>
          <w:jc w:val="center"/>
        </w:trPr>
        <w:tc>
          <w:tcPr>
            <w:tcW w:w="562" w:type="dxa"/>
          </w:tcPr>
          <w:p w14:paraId="6C55CF1A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32F7058B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499C6AF4" w14:textId="77777777" w:rsidR="0044165F" w:rsidRPr="00B1020A" w:rsidRDefault="0044165F" w:rsidP="00D4740D">
            <w:pPr>
              <w:spacing w:after="0" w:line="240" w:lineRule="auto"/>
              <w:jc w:val="center"/>
            </w:pPr>
            <w:r w:rsidRPr="00B1020A">
              <w:t>UAH</w:t>
            </w:r>
          </w:p>
        </w:tc>
      </w:tr>
      <w:tr w:rsidR="0044165F" w:rsidRPr="00B1020A" w14:paraId="5F6A6E60" w14:textId="77777777" w:rsidTr="00D4740D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30108323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0483B122" w14:textId="77777777" w:rsidR="0044165F" w:rsidRPr="00B1020A" w:rsidRDefault="0044165F" w:rsidP="00D4740D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Термін дії цінової пропозиції:</w:t>
            </w:r>
          </w:p>
          <w:p w14:paraId="4B2F098B" w14:textId="77777777" w:rsidR="0044165F" w:rsidRPr="00B1020A" w:rsidRDefault="0044165F" w:rsidP="00D4740D">
            <w:pPr>
              <w:spacing w:after="0" w:line="240" w:lineRule="auto"/>
              <w:jc w:val="both"/>
              <w:rPr>
                <w:i/>
              </w:rPr>
            </w:pPr>
            <w:r w:rsidRPr="00B1020A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668DE911" w14:textId="77777777" w:rsidR="0044165F" w:rsidRPr="00E97A57" w:rsidRDefault="0044165F" w:rsidP="00D4740D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B1020A"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6D332DA1" w14:textId="77777777" w:rsidR="0044165F" w:rsidRPr="00B1020A" w:rsidRDefault="0044165F" w:rsidP="00D4740D">
            <w:pPr>
              <w:spacing w:after="0" w:line="240" w:lineRule="auto"/>
              <w:ind w:right="493"/>
              <w:jc w:val="center"/>
            </w:pPr>
          </w:p>
        </w:tc>
      </w:tr>
    </w:tbl>
    <w:tbl>
      <w:tblPr>
        <w:tblStyle w:val="af0"/>
        <w:tblW w:w="941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1244"/>
        <w:gridCol w:w="1199"/>
        <w:gridCol w:w="1307"/>
      </w:tblGrid>
      <w:tr w:rsidR="003C72C0" w14:paraId="65BE9DAA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6D059C3" w14:textId="77777777" w:rsidR="003C72C0" w:rsidRDefault="008908FE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21089D9" w14:textId="77777777" w:rsidR="003C72C0" w:rsidRDefault="008908FE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F8514FC" w14:textId="77777777" w:rsidR="003C72C0" w:rsidRDefault="008908FE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F82E880" w14:textId="77777777" w:rsidR="003C72C0" w:rsidRDefault="008908FE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C1E785B" w14:textId="77777777" w:rsidR="003C72C0" w:rsidRDefault="008908FE">
            <w:pPr>
              <w:jc w:val="center"/>
            </w:pPr>
            <w: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7FBE64C" w14:textId="77777777" w:rsidR="003C72C0" w:rsidRDefault="008908FE">
            <w:pPr>
              <w:jc w:val="center"/>
            </w:pPr>
            <w:r>
              <w:t>Загалом</w:t>
            </w:r>
          </w:p>
        </w:tc>
      </w:tr>
      <w:tr w:rsidR="003C72C0" w14:paraId="6C9475F8" w14:textId="77777777" w:rsidTr="0044165F"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5CB37B77" w14:textId="77777777" w:rsidR="003C72C0" w:rsidRDefault="008908F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t xml:space="preserve">Гонорари працівникам </w:t>
            </w:r>
          </w:p>
        </w:tc>
      </w:tr>
      <w:tr w:rsidR="003C72C0" w14:paraId="47123042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7EA0F5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F1A635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1F281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4121FF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1F307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520A4" w14:textId="77777777" w:rsidR="003C72C0" w:rsidRDefault="003C72C0">
            <w:pPr>
              <w:jc w:val="both"/>
            </w:pPr>
          </w:p>
        </w:tc>
      </w:tr>
      <w:tr w:rsidR="003C72C0" w14:paraId="7088656C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D23769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46C0B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1C4F9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7E82A2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67C8F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54F85" w14:textId="77777777" w:rsidR="003C72C0" w:rsidRDefault="003C72C0">
            <w:pPr>
              <w:jc w:val="both"/>
            </w:pPr>
          </w:p>
        </w:tc>
      </w:tr>
      <w:tr w:rsidR="003C72C0" w14:paraId="2761BBFD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A7E4B5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FDD2FD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40894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9F959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F8E2C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7DE25B" w14:textId="77777777" w:rsidR="003C72C0" w:rsidRDefault="003C72C0">
            <w:pPr>
              <w:jc w:val="both"/>
            </w:pPr>
          </w:p>
        </w:tc>
      </w:tr>
      <w:tr w:rsidR="003C72C0" w14:paraId="3DA6C665" w14:textId="77777777" w:rsidTr="0044165F"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75A75C" w14:textId="77777777" w:rsidR="003C72C0" w:rsidRDefault="008908FE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A25515" w14:textId="77777777" w:rsidR="003C72C0" w:rsidRDefault="003C72C0">
            <w:pPr>
              <w:jc w:val="right"/>
            </w:pPr>
          </w:p>
        </w:tc>
      </w:tr>
      <w:tr w:rsidR="003C72C0" w14:paraId="5B637124" w14:textId="77777777" w:rsidTr="0044165F"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4215DA45" w14:textId="77777777" w:rsidR="003C72C0" w:rsidRDefault="008908F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</w:pPr>
            <w:r>
              <w:t>Інші витрати</w:t>
            </w:r>
          </w:p>
        </w:tc>
      </w:tr>
      <w:tr w:rsidR="003C72C0" w14:paraId="563F39D3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85762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D1442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3EF0A9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33E37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68E02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2CE3F" w14:textId="77777777" w:rsidR="003C72C0" w:rsidRDefault="003C72C0">
            <w:pPr>
              <w:jc w:val="both"/>
            </w:pPr>
          </w:p>
        </w:tc>
      </w:tr>
      <w:tr w:rsidR="003C72C0" w14:paraId="3EE40C36" w14:textId="77777777" w:rsidTr="0044165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9A4611" w14:textId="77777777" w:rsidR="003C72C0" w:rsidRDefault="003C72C0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EE208" w14:textId="77777777" w:rsidR="003C72C0" w:rsidRDefault="003C72C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B1F6F1" w14:textId="77777777" w:rsidR="003C72C0" w:rsidRDefault="003C72C0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B5192" w14:textId="77777777" w:rsidR="003C72C0" w:rsidRDefault="003C72C0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51598" w14:textId="77777777" w:rsidR="003C72C0" w:rsidRDefault="003C72C0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A53F7" w14:textId="77777777" w:rsidR="003C72C0" w:rsidRDefault="003C72C0">
            <w:pPr>
              <w:jc w:val="both"/>
            </w:pPr>
          </w:p>
        </w:tc>
      </w:tr>
      <w:tr w:rsidR="003C72C0" w14:paraId="20F15723" w14:textId="77777777" w:rsidTr="0044165F">
        <w:trPr>
          <w:trHeight w:val="192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B55985" w14:textId="77777777" w:rsidR="003C72C0" w:rsidRDefault="008908FE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381E5B" w14:textId="77777777" w:rsidR="003C72C0" w:rsidRDefault="003C72C0">
            <w:pPr>
              <w:jc w:val="right"/>
            </w:pPr>
          </w:p>
        </w:tc>
      </w:tr>
      <w:tr w:rsidR="003C72C0" w14:paraId="734C8189" w14:textId="77777777" w:rsidTr="0044165F">
        <w:trPr>
          <w:trHeight w:val="581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89787" w14:textId="77777777" w:rsidR="003C72C0" w:rsidRDefault="008908F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14:paraId="0FCA10A1" w14:textId="77777777" w:rsidR="003C72C0" w:rsidRDefault="008908FE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CAA42" w14:textId="77777777" w:rsidR="003C72C0" w:rsidRDefault="003C72C0">
            <w:pPr>
              <w:jc w:val="right"/>
            </w:pPr>
          </w:p>
        </w:tc>
      </w:tr>
    </w:tbl>
    <w:p w14:paraId="3E96188B" w14:textId="77777777" w:rsidR="003C72C0" w:rsidRDefault="008908FE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F0E451" wp14:editId="3273B578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6029325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89A8C2" w14:textId="77777777" w:rsidR="003C72C0" w:rsidRDefault="008908F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0E451" id="Rectangle 3" o:spid="_x0000_s1026" style="position:absolute;margin-left:5pt;margin-top:2pt;width:474.75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5F89A8C2" w14:textId="77777777" w:rsidR="003C72C0" w:rsidRDefault="008908FE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1F386E94" w14:textId="77777777" w:rsidR="003C72C0" w:rsidRDefault="003C72C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52F6F4B0" w14:textId="77777777" w:rsidR="003C72C0" w:rsidRDefault="003C72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15E45E" w14:textId="77777777" w:rsidR="003C72C0" w:rsidRDefault="003C72C0">
      <w:pPr>
        <w:spacing w:after="0" w:line="240" w:lineRule="auto"/>
        <w:jc w:val="both"/>
      </w:pPr>
    </w:p>
    <w:p w14:paraId="4DE6E195" w14:textId="7B06AB5D" w:rsidR="003C72C0" w:rsidRDefault="008908FE">
      <w:pPr>
        <w:spacing w:after="0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</w:t>
      </w:r>
      <w:r w:rsidR="0030366D">
        <w:rPr>
          <w:b/>
        </w:rPr>
        <w:t>опозицій RFQ Nº UNFPA/UKR/RFQ/22/</w:t>
      </w:r>
      <w:r w:rsidR="00F93822">
        <w:rPr>
          <w:b/>
        </w:rPr>
        <w:t>14</w:t>
      </w:r>
      <w:r>
        <w:rPr>
          <w:b/>
        </w:rPr>
        <w:t xml:space="preserve"> </w:t>
      </w:r>
      <w:r>
        <w:t>[</w:t>
      </w:r>
      <w:r w:rsidR="00F93822" w:rsidRPr="00AD30B7">
        <w:rPr>
          <w:b/>
        </w:rPr>
        <w:t>SMM-підтримка сторінки кампанії із сексуальної освіти для підлітків</w:t>
      </w:r>
      <w:r>
        <w:rPr>
          <w:b/>
        </w:rPr>
        <w:t>]</w:t>
      </w:r>
      <w:r>
        <w:t xml:space="preserve">,у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tbl>
      <w:tblPr>
        <w:tblStyle w:val="af1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72C0" w14:paraId="1CAC6E46" w14:textId="77777777">
        <w:tc>
          <w:tcPr>
            <w:tcW w:w="4623" w:type="dxa"/>
            <w:shd w:val="clear" w:color="auto" w:fill="auto"/>
            <w:vAlign w:val="center"/>
          </w:tcPr>
          <w:p w14:paraId="2D68FF80" w14:textId="77777777" w:rsidR="003C72C0" w:rsidRDefault="003C72C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301E9A55" w14:textId="77777777" w:rsidR="003C72C0" w:rsidRDefault="003C72C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11377A3" w14:textId="77777777" w:rsidR="003C72C0" w:rsidRDefault="008908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2E16A02" w14:textId="77777777" w:rsidR="003C72C0" w:rsidRDefault="003C72C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72C0" w14:paraId="024788FB" w14:textId="77777777">
        <w:tc>
          <w:tcPr>
            <w:tcW w:w="4623" w:type="dxa"/>
            <w:shd w:val="clear" w:color="auto" w:fill="auto"/>
            <w:vAlign w:val="center"/>
          </w:tcPr>
          <w:p w14:paraId="1E0F38F8" w14:textId="77777777" w:rsidR="003C72C0" w:rsidRDefault="008908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49093BCA" w14:textId="77777777" w:rsidR="003C72C0" w:rsidRDefault="008908F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0D5EBB6F" w14:textId="77777777" w:rsidR="003C72C0" w:rsidRDefault="003C72C0">
      <w:pPr>
        <w:jc w:val="center"/>
        <w:rPr>
          <w:b/>
        </w:rPr>
      </w:pPr>
    </w:p>
    <w:p w14:paraId="0649584A" w14:textId="77777777" w:rsidR="003C72C0" w:rsidRDefault="003C72C0">
      <w:pPr>
        <w:jc w:val="center"/>
        <w:rPr>
          <w:b/>
        </w:rPr>
      </w:pPr>
    </w:p>
    <w:p w14:paraId="46CCB386" w14:textId="77777777" w:rsidR="003C72C0" w:rsidRDefault="008908FE">
      <w:pPr>
        <w:jc w:val="center"/>
        <w:rPr>
          <w:b/>
        </w:rPr>
      </w:pPr>
      <w:r>
        <w:rPr>
          <w:b/>
        </w:rPr>
        <w:t>Додаток I:</w:t>
      </w:r>
    </w:p>
    <w:p w14:paraId="360FEEB3" w14:textId="77777777" w:rsidR="003C72C0" w:rsidRDefault="008908FE">
      <w:pPr>
        <w:jc w:val="center"/>
        <w:rPr>
          <w:b/>
        </w:rPr>
      </w:pPr>
      <w:r>
        <w:rPr>
          <w:b/>
        </w:rPr>
        <w:lastRenderedPageBreak/>
        <w:t>Загальні умови договору:</w:t>
      </w:r>
    </w:p>
    <w:p w14:paraId="1C452CC2" w14:textId="77777777" w:rsidR="003C72C0" w:rsidRDefault="008908FE">
      <w:pPr>
        <w:jc w:val="center"/>
        <w:rPr>
          <w:b/>
        </w:rPr>
      </w:pPr>
      <w:r>
        <w:rPr>
          <w:b/>
        </w:rPr>
        <w:t>De Minimis Contracts</w:t>
      </w:r>
    </w:p>
    <w:p w14:paraId="24D2DF40" w14:textId="77777777" w:rsidR="003C72C0" w:rsidRDefault="003C72C0"/>
    <w:p w14:paraId="48CB6CBF" w14:textId="77777777" w:rsidR="003C72C0" w:rsidRDefault="003C72C0">
      <w:pPr>
        <w:tabs>
          <w:tab w:val="left" w:pos="7020"/>
        </w:tabs>
      </w:pPr>
    </w:p>
    <w:p w14:paraId="3F17B4B4" w14:textId="77777777" w:rsidR="003C72C0" w:rsidRDefault="008908FE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7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18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19">
        <w:r>
          <w:rPr>
            <w:color w:val="0563C1"/>
            <w:u w:val="single"/>
          </w:rPr>
          <w:t>French</w:t>
        </w:r>
      </w:hyperlink>
    </w:p>
    <w:p w14:paraId="0B7C24A7" w14:textId="77777777" w:rsidR="003C72C0" w:rsidRDefault="003C72C0"/>
    <w:p w14:paraId="3496C42E" w14:textId="77777777" w:rsidR="003C72C0" w:rsidRDefault="003C72C0"/>
    <w:sectPr w:rsidR="003C72C0">
      <w:headerReference w:type="default" r:id="rId20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399D5" w16cid:durableId="260D2BFC"/>
  <w16cid:commentId w16cid:paraId="316136B4" w16cid:durableId="260D2C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28E9" w14:textId="77777777" w:rsidR="000A52CF" w:rsidRDefault="000A52CF">
      <w:pPr>
        <w:spacing w:after="0" w:line="240" w:lineRule="auto"/>
      </w:pPr>
      <w:r>
        <w:separator/>
      </w:r>
    </w:p>
  </w:endnote>
  <w:endnote w:type="continuationSeparator" w:id="0">
    <w:p w14:paraId="760092C1" w14:textId="77777777" w:rsidR="000A52CF" w:rsidRDefault="000A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320D" w14:textId="77777777" w:rsidR="000A52CF" w:rsidRDefault="000A52CF">
      <w:pPr>
        <w:spacing w:after="0" w:line="240" w:lineRule="auto"/>
      </w:pPr>
      <w:r>
        <w:separator/>
      </w:r>
    </w:p>
  </w:footnote>
  <w:footnote w:type="continuationSeparator" w:id="0">
    <w:p w14:paraId="21D92D93" w14:textId="77777777" w:rsidR="000A52CF" w:rsidRDefault="000A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7B63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7974DBA" wp14:editId="128DA899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4" name="image2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07522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7A8A6FF7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2BF65609" w14:textId="77777777" w:rsidR="003C72C0" w:rsidRDefault="008908F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BC8"/>
    <w:multiLevelType w:val="multilevel"/>
    <w:tmpl w:val="F0708216"/>
    <w:lvl w:ilvl="0">
      <w:start w:val="1"/>
      <w:numFmt w:val="bullet"/>
      <w:lvlText w:val="-"/>
      <w:lvlJc w:val="left"/>
      <w:pPr>
        <w:ind w:left="8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15" w:hanging="360"/>
      </w:pPr>
    </w:lvl>
    <w:lvl w:ilvl="2">
      <w:start w:val="1"/>
      <w:numFmt w:val="lowerRoman"/>
      <w:lvlText w:val="%3."/>
      <w:lvlJc w:val="right"/>
      <w:pPr>
        <w:ind w:left="2335" w:hanging="180"/>
      </w:pPr>
    </w:lvl>
    <w:lvl w:ilvl="3">
      <w:start w:val="1"/>
      <w:numFmt w:val="decimal"/>
      <w:lvlText w:val="%4."/>
      <w:lvlJc w:val="left"/>
      <w:pPr>
        <w:ind w:left="3055" w:hanging="360"/>
      </w:pPr>
    </w:lvl>
    <w:lvl w:ilvl="4">
      <w:start w:val="1"/>
      <w:numFmt w:val="lowerLetter"/>
      <w:lvlText w:val="%5."/>
      <w:lvlJc w:val="left"/>
      <w:pPr>
        <w:ind w:left="3775" w:hanging="360"/>
      </w:pPr>
    </w:lvl>
    <w:lvl w:ilvl="5">
      <w:start w:val="1"/>
      <w:numFmt w:val="lowerRoman"/>
      <w:lvlText w:val="%6."/>
      <w:lvlJc w:val="right"/>
      <w:pPr>
        <w:ind w:left="4495" w:hanging="180"/>
      </w:pPr>
    </w:lvl>
    <w:lvl w:ilvl="6">
      <w:start w:val="1"/>
      <w:numFmt w:val="decimal"/>
      <w:lvlText w:val="%7."/>
      <w:lvlJc w:val="left"/>
      <w:pPr>
        <w:ind w:left="5215" w:hanging="360"/>
      </w:pPr>
    </w:lvl>
    <w:lvl w:ilvl="7">
      <w:start w:val="1"/>
      <w:numFmt w:val="lowerLetter"/>
      <w:lvlText w:val="%8."/>
      <w:lvlJc w:val="left"/>
      <w:pPr>
        <w:ind w:left="5935" w:hanging="360"/>
      </w:pPr>
    </w:lvl>
    <w:lvl w:ilvl="8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65A620A"/>
    <w:multiLevelType w:val="multilevel"/>
    <w:tmpl w:val="DDFCA1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D84A4F"/>
    <w:multiLevelType w:val="multilevel"/>
    <w:tmpl w:val="F8882C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58585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453E7"/>
    <w:multiLevelType w:val="multilevel"/>
    <w:tmpl w:val="39863FF2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28303F"/>
    <w:multiLevelType w:val="multilevel"/>
    <w:tmpl w:val="608A2A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4ED9"/>
    <w:multiLevelType w:val="multilevel"/>
    <w:tmpl w:val="5B22A4AC"/>
    <w:lvl w:ilvl="0">
      <w:start w:val="1"/>
      <w:numFmt w:val="bullet"/>
      <w:lvlText w:val="·"/>
      <w:lvlJc w:val="left"/>
      <w:pPr>
        <w:ind w:left="7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6F638B"/>
    <w:multiLevelType w:val="hybridMultilevel"/>
    <w:tmpl w:val="120E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2BFD"/>
    <w:multiLevelType w:val="multilevel"/>
    <w:tmpl w:val="6B9CB57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58585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DC48EC"/>
    <w:multiLevelType w:val="multilevel"/>
    <w:tmpl w:val="A2F079A0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71124F"/>
    <w:multiLevelType w:val="multilevel"/>
    <w:tmpl w:val="38520D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B053E84"/>
    <w:multiLevelType w:val="multilevel"/>
    <w:tmpl w:val="10DE60AA"/>
    <w:lvl w:ilvl="0">
      <w:start w:val="1"/>
      <w:numFmt w:val="bullet"/>
      <w:lvlText w:val="·"/>
      <w:lvlJc w:val="left"/>
      <w:pPr>
        <w:ind w:left="1212" w:hanging="503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705F99"/>
    <w:multiLevelType w:val="multilevel"/>
    <w:tmpl w:val="6FBE6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766043"/>
    <w:multiLevelType w:val="multilevel"/>
    <w:tmpl w:val="4DF422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16D442F"/>
    <w:multiLevelType w:val="multilevel"/>
    <w:tmpl w:val="E1063DA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931F9"/>
    <w:multiLevelType w:val="multilevel"/>
    <w:tmpl w:val="AD645B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851025B"/>
    <w:multiLevelType w:val="multilevel"/>
    <w:tmpl w:val="3BC2EBFA"/>
    <w:lvl w:ilvl="0">
      <w:start w:val="1"/>
      <w:numFmt w:val="bullet"/>
      <w:lvlText w:val="·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E16B5F"/>
    <w:multiLevelType w:val="multilevel"/>
    <w:tmpl w:val="E0C472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C0"/>
    <w:rsid w:val="000A4540"/>
    <w:rsid w:val="000A52CF"/>
    <w:rsid w:val="000E4AB2"/>
    <w:rsid w:val="001244DD"/>
    <w:rsid w:val="001450F4"/>
    <w:rsid w:val="001C2215"/>
    <w:rsid w:val="001E4850"/>
    <w:rsid w:val="00206D62"/>
    <w:rsid w:val="002B302B"/>
    <w:rsid w:val="0030366D"/>
    <w:rsid w:val="003626E3"/>
    <w:rsid w:val="003C72C0"/>
    <w:rsid w:val="0044165F"/>
    <w:rsid w:val="004B74E2"/>
    <w:rsid w:val="005F6844"/>
    <w:rsid w:val="00660A2D"/>
    <w:rsid w:val="00671924"/>
    <w:rsid w:val="00681BFC"/>
    <w:rsid w:val="0069076C"/>
    <w:rsid w:val="006F6B74"/>
    <w:rsid w:val="00762B81"/>
    <w:rsid w:val="0077150C"/>
    <w:rsid w:val="0079256B"/>
    <w:rsid w:val="007C6C59"/>
    <w:rsid w:val="00832C2A"/>
    <w:rsid w:val="008908FE"/>
    <w:rsid w:val="008C0D04"/>
    <w:rsid w:val="009246DA"/>
    <w:rsid w:val="0095203A"/>
    <w:rsid w:val="00956A90"/>
    <w:rsid w:val="009972F4"/>
    <w:rsid w:val="00A55D8A"/>
    <w:rsid w:val="00AD30B7"/>
    <w:rsid w:val="00B80917"/>
    <w:rsid w:val="00B9086A"/>
    <w:rsid w:val="00BD1EBF"/>
    <w:rsid w:val="00C851ED"/>
    <w:rsid w:val="00CB5C38"/>
    <w:rsid w:val="00DD221E"/>
    <w:rsid w:val="00E500E4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FF77"/>
  <w15:docId w15:val="{62353D04-FB55-457A-AAD7-01B9BE9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C9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hyperlink" Target="http://www.unfpa.org/sites/default/files/resource-pdf/UNFPA%20General%20Conditions%20-%20De%20Minimis%20Contracts%20SP_0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yperlink" Target="http://www.unfpa.org/resources/unfpa-general-conditions-de-minimis-contracts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unfp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paniiets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lld1O7quqto5mFL7dqKTB2IoA==">AMUW2mV+fVxItMwp5bi5BFJd31j/puZ9IiMg9NH+Q2xIW3U8Zx4MbSmDj3y+7y4AOjaOIhOeBes1RhU/+KqaxoHmCDjLHzwXboUbhMxE2xx/ad0DbpmLFA9PjxriU9HVqq/Aw7BfNhWk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3F16B7-EB5F-4EF9-8D90-483B14F5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Maryna Semenenko</cp:lastModifiedBy>
  <cp:revision>6</cp:revision>
  <dcterms:created xsi:type="dcterms:W3CDTF">2022-06-08T10:23:00Z</dcterms:created>
  <dcterms:modified xsi:type="dcterms:W3CDTF">2022-06-08T17:22:00Z</dcterms:modified>
</cp:coreProperties>
</file>