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  <w:t xml:space="preserve">Дата: 28 січня 2022</w:t>
      </w:r>
    </w:p>
    <w:p w:rsidR="00000000" w:rsidDel="00000000" w:rsidP="00000000" w:rsidRDefault="00000000" w:rsidRPr="00000000" w14:paraId="00000003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Затверджено:</w:t>
      </w:r>
    </w:p>
    <w:p w:rsidR="00000000" w:rsidDel="00000000" w:rsidP="00000000" w:rsidRDefault="00000000" w:rsidRPr="00000000" w14:paraId="00000005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п. Хайме Надаль</w:t>
      </w:r>
    </w:p>
    <w:p w:rsidR="00000000" w:rsidDel="00000000" w:rsidP="00000000" w:rsidRDefault="00000000" w:rsidRPr="00000000" w14:paraId="00000006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Представник Фонду ООН у галузі народонаселення</w:t>
      </w:r>
    </w:p>
    <w:p w:rsidR="00000000" w:rsidDel="00000000" w:rsidP="00000000" w:rsidRDefault="00000000" w:rsidRPr="00000000" w14:paraId="00000007">
      <w:pPr>
        <w:tabs>
          <w:tab w:val="left" w:pos="-180"/>
          <w:tab w:val="right" w:pos="1980"/>
          <w:tab w:val="left" w:pos="2160"/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ЗАПИТ НА ПОДАННЯ ПРОПОЗИЦІЙ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RFQ Nº UNFPA/UKR/RFQ/22/06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Шановні пані / панове,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Фонд ООН у галузі народонаселення запрошує Вас надати цінову пропозицію на наступну послугу:</w:t>
      </w:r>
    </w:p>
    <w:p w:rsidR="00000000" w:rsidDel="00000000" w:rsidP="00000000" w:rsidRDefault="00000000" w:rsidRPr="00000000" w14:paraId="0000000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Розробка і розміщення зовнішньої соціальної реклами «Бути татом – бути поруч»</w:t>
      </w:r>
    </w:p>
    <w:p w:rsidR="00000000" w:rsidDel="00000000" w:rsidP="00000000" w:rsidRDefault="00000000" w:rsidRPr="00000000" w14:paraId="0000000F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18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Про UNFPA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UNFPA, Фонд ООН у галузі народонаселення,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 w:rsidDel="00000000" w:rsidR="00000000" w:rsidRPr="00000000">
          <w:rPr>
            <w:color w:val="0070c0"/>
            <w:u w:val="single"/>
            <w:rtl w:val="0"/>
          </w:rPr>
          <w:t xml:space="preserve">UNFPA про нас</w:t>
        </w:r>
      </w:hyperlink>
      <w:r w:rsidDel="00000000" w:rsidR="00000000" w:rsidRPr="00000000">
        <w:rPr>
          <w:color w:val="0070c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Технічне завдання (ТЗ)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Передумови та опис програми</w:t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Інформаційна кампанія ТАТО ДІЄ є частиною проєкту «Щастя у 4 руки» з розвитку відповідального татівства та залучення чоловіків до піклування та догляду за дітьми, що є частиною програми Фонду ООН у галузі народонаселення з розвитку та посилення спроможності жінок, яка має на меті підтримати жінок та дівчат у реалізації їхніх можливостей та розвитку ідей гендерної рівності.</w:t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Кампанія ТАТО ДІЄ є четвертою хвилею проєкту «Щастя у 4 руки» і розпочалася у 2021 році та реалізується за підтримки Європейського Союзу та уряду Швеції у партнерстві з Офісом віцепрем'єрки з питань Європейської та Євроатлантичної інтеграції. </w:t>
      </w:r>
    </w:p>
    <w:p w:rsidR="00000000" w:rsidDel="00000000" w:rsidP="00000000" w:rsidRDefault="00000000" w:rsidRPr="00000000" w14:paraId="0000001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Основна мета кампанії — трансформувати «традиційне» соціальне сприйняття, дискримінаційне ставлення та стереотипи щодо ролі чоловіків і татів у сім’ях та суспільстві загалом шляхом відстоювання спільної опіки та догляду татами і мамами та батьківської «декретної» відпустки серед татів.</w:t>
      </w:r>
    </w:p>
    <w:p w:rsidR="00000000" w:rsidDel="00000000" w:rsidP="00000000" w:rsidRDefault="00000000" w:rsidRPr="00000000" w14:paraId="0000001A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Концепція кампанії ТАТО Діє відповідає таким цілям:</w:t>
      </w:r>
    </w:p>
    <w:p w:rsidR="00000000" w:rsidDel="00000000" w:rsidP="00000000" w:rsidRDefault="00000000" w:rsidRPr="00000000" w14:paraId="0000001B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• підвищує поінформованість про відпустку по догляду за дитиною для татів, батьківські програми та діючі законодавчі положення, які дозволяють чоловікам використовувати свої батьківські права; залучає теперішніх та майбутніх батьків, щоб скористатися батьківською відпусткою та брали участь у відповідальному активному батьківстві без стереотипів;</w:t>
      </w:r>
    </w:p>
    <w:p w:rsidR="00000000" w:rsidDel="00000000" w:rsidP="00000000" w:rsidRDefault="00000000" w:rsidRPr="00000000" w14:paraId="0000001C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• виступає за більшу участь чоловіків у виконанні домашніх обов’язків та піклуванні за дітьми у сім’ях, включаючи догляд за дітьми та домашні обов’язки, та сприяють відповідальному батьківству; підкреслює роль батьків у вихованні дитини та змінювати ставлення до ролей, які традиційно розглядаються як «виключно жіночі », особливо в часи глобальної кризи та пандемії COVID-19;</w:t>
      </w:r>
    </w:p>
    <w:p w:rsidR="00000000" w:rsidDel="00000000" w:rsidP="00000000" w:rsidRDefault="00000000" w:rsidRPr="00000000" w14:paraId="0000001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• має на меті сприяти підтримці сімейної політики, такої як гнучкі схеми батьківських відпусток, віддалені формати роботи для сімей та заохочення чоловіків брати участь у піклуванні за дітьми;</w:t>
      </w:r>
    </w:p>
    <w:p w:rsidR="00000000" w:rsidDel="00000000" w:rsidP="00000000" w:rsidRDefault="00000000" w:rsidRPr="00000000" w14:paraId="0000001E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• має на меті підтримати чоловіків, відповідальних батьків і тих, хто скористався можливістю «декретної» відпустки для тат, всередині їхніх громад та людей, які впливають на них.</w:t>
      </w:r>
    </w:p>
    <w:p w:rsidR="00000000" w:rsidDel="00000000" w:rsidP="00000000" w:rsidRDefault="00000000" w:rsidRPr="00000000" w14:paraId="0000001F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2019 році за підтримки Європейського Союзу в межах Програми «ЄС за гендерну рівність та проти гендерно зумовленого насильства», що реалізується спільно структурою ООН Жінки та Фондом ООН у галузі народонаселення, було створено та підтримано подальшу роботу клубів для тат – татохабів – у 5 містах України: Києві, Одесі, Вінниці, Херсоні та Новій Каховці. Ці татохаби працюють із татами вказаних міст, надаючи психологіну підтримку, моживості якісного проведення часу із дітьми, а також проводять освітні заходи для татів на різні теми.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 Методологія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Зміст та обсяг робіт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Обраний постачальник послуг повинен розмістити розроблені сюжети на носіях зовнішньої реклами в цільових містах (Київ, Одеса, Вінниця, Херсон, Нова Каховка).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Цільова аудиторія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Чоловіки віком 30 – 45 років.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Географія: Київ, Одеса, Вінниця, Херсон, Нова Каховка.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Мета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Метою розміщення реклами є підвищення обізнаності про кампанію ТАТО ДІЄ. Додатковим завданням є збільшення відвідуваності сайту zags.org.ua.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Виконані роботи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Компанія має виконати такі роботи: </w:t>
      </w:r>
    </w:p>
    <w:tbl>
      <w:tblPr>
        <w:tblStyle w:val="Table1"/>
        <w:tblW w:w="962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"/>
        <w:gridCol w:w="2760"/>
        <w:gridCol w:w="4410"/>
        <w:gridCol w:w="2040"/>
        <w:tblGridChange w:id="0">
          <w:tblGrid>
            <w:gridCol w:w="416"/>
            <w:gridCol w:w="2760"/>
            <w:gridCol w:w="4410"/>
            <w:gridCol w:w="204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Очікуваний 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Вимоги до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Часові рамки</w:t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Сформувати програму (сітку) розміщення зовнішньої реклами у вказаних цільових містах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Мета: охопити цільову аудиторію міста.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Орієнтовні показники: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Київ: 10 площ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Одеса: 4 площі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Вінниця: 4 площі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Херсон: 4 площі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Нова Каховка: 4 площі.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4" w:line="276" w:lineRule="auto"/>
              <w:ind w:right="9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Протягом 1 тижня з дати підписання контракту. </w:t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Надрукувати та розмістити розроблені макети зовнішньої реклами в обраних містах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Мета: охопити цільову аудиторію міста.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4" w:line="276" w:lineRule="auto"/>
              <w:ind w:right="9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Розміщення: березень 2022 року</w:t>
            </w:r>
          </w:p>
        </w:tc>
      </w:tr>
      <w:tr>
        <w:trPr>
          <w:cantSplit w:val="0"/>
          <w:trHeight w:val="1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19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Звіт по розміщенню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зовнішньої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0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Звіт у деталях має містити інформацію щодо розміщеної реклами на кожній локації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орієнтовну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кількість контактів із кожним рекламним носієм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та загальний показник охоплення усіма носіями.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4" w:line="276" w:lineRule="auto"/>
              <w:ind w:right="9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Не пізніше ніж 5 робочих днів після закінчення розміщення реклами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</w:tabs>
        <w:spacing w:before="2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Усі друковані сюжети вже розроблено, до уваги мають бути взяті кошти на друк. 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Будь-які творчі ідеї, що знаходяться у рамках даного технічного завдання, обговорюються. UNFPA залишає за собою право змінювати обсяг запланованих виконаних робіт UNFPA, але учасник тендеру має відобразити усі згадані у технічному завданні очікувані роботи у двох пропозиціях – фінансовій і технічній. План виконання має бути узгоджений із Фондом ООН у галузі народонаселення перед втіленням та покращений, відповідно до наданих рекомендацій.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Терміни надання послуг та порядок оплати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Індикативна хронологія виконання робіт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Усі очікувані результати, передбачені даним технічним завданням, повинні бути подані заявнику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до 5 квітня 2022 року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tbl>
      <w:tblPr>
        <w:tblStyle w:val="Table2"/>
        <w:tblW w:w="9924.0" w:type="dxa"/>
        <w:jc w:val="left"/>
        <w:tblInd w:w="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3642"/>
        <w:gridCol w:w="5954"/>
        <w:tblGridChange w:id="0">
          <w:tblGrid>
            <w:gridCol w:w="328"/>
            <w:gridCol w:w="3642"/>
            <w:gridCol w:w="59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Виконана робота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Умови та терміни оплати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Розмістити усі рекламні макети на обраних носіях та локаціях.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85% від суми контракту, після подання та затвердження UNFPA, 7-ий робочий день після розміщення макетів та наданням підтверджень.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Надати звіт по розміщенню, включно із показниками охоплень по кожному місту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15% від суми контракту, після подання та затвердження UNFPA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Умови оплати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Оплата здійснюється відповідно до отримання Замовником перелічених вище продуктів (результатів роботи, підтвердженої фотозвітами та планом розміщення реклами, з зазначенням точного місця розміщення та OTS показників контактів з аудиторією), а також на основі наданого повного пакету супровідної платіжної документації.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www.treasury.un.org).</w:t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Інтелектуальна власність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Вимоги та кваліфікація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Кандидат повинен: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бути резидентом  або мати юридичне представництво в Україні з відповідною офіційною реєстрацією;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працювати в сфері медіа розміщення/комунікацій/маркетингу не менше 2 років;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мати досвід роботи в галузі розміщення друкованої реклами в українських областях;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демонструвати здатність дотримуватися часових рамок, працювати під тиском та вимірювати результати;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володіти українською, російською та англійською мовами.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Перевагою є попередній досвід співпраці з агентством ООН.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Оцінка пропозицій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Детальна оцінка технічної та фінансової пропозицій складається з оцінки технічної складової пропозиції та фінансової оцінки.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libri" w:cs="Calibri" w:eastAsia="Calibri" w:hAnsi="Calibri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Питання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Питання або запити щодо подальшого роз’яснення надсилаються за наведеними нижче контактними даними:</w:t>
      </w:r>
    </w:p>
    <w:tbl>
      <w:tblPr>
        <w:tblStyle w:val="Table3"/>
        <w:tblW w:w="609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6" w:val="single"/>
          <w:insideV w:color="d9d9d9" w:space="0" w:sz="6" w:val="single"/>
        </w:tblBorders>
        <w:tblLayout w:type="fixed"/>
        <w:tblLook w:val="0400"/>
      </w:tblPr>
      <w:tblGrid>
        <w:gridCol w:w="3510"/>
        <w:gridCol w:w="2580"/>
        <w:tblGridChange w:id="0">
          <w:tblGrid>
            <w:gridCol w:w="3510"/>
            <w:gridCol w:w="2580"/>
          </w:tblGrid>
        </w:tblGridChange>
      </w:tblGrid>
      <w:tr>
        <w:trPr>
          <w:cantSplit w:val="0"/>
          <w:trHeight w:val="2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Контактна особа: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Альона Зубченко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Номер телефону: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+380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965065588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Електронна адреса: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360" w:lineRule="auto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zubchenko@unfpa.org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На ці запитання буде надано письмову відповідь, яку буде повідомлено всім сторонам якнайшвидше.</w:t>
      </w:r>
    </w:p>
    <w:p w:rsidR="00000000" w:rsidDel="00000000" w:rsidP="00000000" w:rsidRDefault="00000000" w:rsidRPr="00000000" w14:paraId="0000006E">
      <w:pPr>
        <w:tabs>
          <w:tab w:val="left" w:pos="6630"/>
          <w:tab w:val="left" w:pos="912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Кінцевий термін подання запитань </w:t>
      </w:r>
      <w:r w:rsidDel="00000000" w:rsidR="00000000" w:rsidRPr="00000000">
        <w:rPr>
          <w:b w:val="1"/>
          <w:rtl w:val="0"/>
        </w:rPr>
        <w:t xml:space="preserve">четвер</w:t>
      </w:r>
      <w:r w:rsidDel="00000000" w:rsidR="00000000" w:rsidRPr="00000000">
        <w:rPr>
          <w:b w:val="1"/>
          <w:color w:val="000000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03 </w:t>
      </w:r>
      <w:r w:rsidDel="00000000" w:rsidR="00000000" w:rsidRPr="00000000">
        <w:rPr>
          <w:b w:val="1"/>
          <w:color w:val="000000"/>
          <w:rtl w:val="0"/>
        </w:rPr>
        <w:t xml:space="preserve">лютого, 2022, 12:00 год 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Зміст пропозицій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Пропозиції мають надсилатися електронною поштою, за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можливістю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одним повідомленням, залежно від розміру файлу та мають вміщувати:  </w:t>
      </w:r>
    </w:p>
    <w:p w:rsidR="00000000" w:rsidDel="00000000" w:rsidP="00000000" w:rsidRDefault="00000000" w:rsidRPr="00000000" w14:paraId="00000072">
      <w:pPr>
        <w:tabs>
          <w:tab w:val="left" w:pos="6630"/>
          <w:tab w:val="left" w:pos="912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30"/>
          <w:tab w:val="left" w:pos="9120"/>
        </w:tabs>
        <w:spacing w:after="0"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Відповідну висунутим вимогам технічну пропозицію. Технічна пропозиція має бути подана в електронному вигляді на пошту, сказану у розділі IV.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Цінова пропозиція, яка має містити усі прогнозовані витрати. </w:t>
      </w:r>
      <w:r w:rsidDel="00000000" w:rsidR="00000000" w:rsidRPr="00000000">
        <w:rPr>
          <w:b w:val="1"/>
          <w:color w:val="000000"/>
          <w:rtl w:val="0"/>
        </w:rPr>
        <w:t xml:space="preserve">Цінові пропозиції мають бути подані без ПДВ.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Мова пропозиції українська.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Технічна та цінова пропозиція мають бути надіслані окремими файлами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та бути підписані відповідним керівником компанії та надіслані у форматі PDF.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Технічна пропозиція має містити варіанти дизайну/концепції макетів зовнішньої реклами та список можливих локацій для розміщення.</w:t>
      </w:r>
    </w:p>
    <w:p w:rsidR="00000000" w:rsidDel="00000000" w:rsidP="00000000" w:rsidRDefault="00000000" w:rsidRPr="00000000" w14:paraId="00000078">
      <w:pPr>
        <w:tabs>
          <w:tab w:val="left" w:pos="6630"/>
          <w:tab w:val="left" w:pos="91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  <w:tab/>
        <w:t xml:space="preserve">Інструкції для подання пропозицій</w:t>
      </w:r>
    </w:p>
    <w:p w:rsidR="00000000" w:rsidDel="00000000" w:rsidP="00000000" w:rsidRDefault="00000000" w:rsidRPr="00000000" w14:paraId="0000007A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Del="00000000" w:rsidR="00000000" w:rsidRPr="00000000">
        <w:rPr>
          <w:b w:val="1"/>
          <w:rtl w:val="0"/>
        </w:rPr>
        <w:t xml:space="preserve">п’ятниця, 11 лютого, 2022, 17:00 год  за Київським часом.</w:t>
      </w:r>
      <w:r w:rsidDel="00000000" w:rsidR="00000000" w:rsidRPr="00000000">
        <w:rPr>
          <w:rtl w:val="0"/>
        </w:rPr>
        <w:t xml:space="preserve"> Пропозиції, надіслані на будь-яку іншу адресу електронної пошти, не розглядатимуться.</w:t>
      </w:r>
    </w:p>
    <w:tbl>
      <w:tblPr>
        <w:tblStyle w:val="Table4"/>
        <w:tblW w:w="8522.0" w:type="dxa"/>
        <w:jc w:val="center"/>
        <w:tblLayout w:type="fixed"/>
        <w:tblLook w:val="0000"/>
      </w:tblPr>
      <w:tblGrid>
        <w:gridCol w:w="3510"/>
        <w:gridCol w:w="5012"/>
        <w:tblGridChange w:id="0">
          <w:tblGrid>
            <w:gridCol w:w="3510"/>
            <w:gridCol w:w="5012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Ім'я та прізвище контактної особи в UNFPA: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Ірина Богун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електронної пошти контактної особи: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ua-procurement@unfpa.org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  <w:t xml:space="preserve">Зверніть увагу на наступні інструкції щодо подання пропозицій електронною поштою: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Тема повідомлення має включати таке посилання: </w:t>
      </w:r>
      <w:r w:rsidDel="00000000" w:rsidR="00000000" w:rsidRPr="00000000">
        <w:rPr>
          <w:b w:val="1"/>
          <w:color w:val="000000"/>
          <w:rtl w:val="0"/>
        </w:rPr>
        <w:t xml:space="preserve">RFQ Nº UNFPA/UKR/RFQ/22/06. </w:t>
      </w:r>
      <w:r w:rsidDel="00000000" w:rsidR="00000000" w:rsidRPr="00000000">
        <w:rPr>
          <w:color w:val="000000"/>
          <w:rtl w:val="0"/>
        </w:rPr>
        <w:t xml:space="preserve">Пропозиції, які містять неналежну тему повідомлення можуть бути пропущені адміністратором та, таким чином, не будуть розглянуті.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Загальний обсяг повідомлення не повинен перевищувати </w:t>
      </w:r>
      <w:r w:rsidDel="00000000" w:rsidR="00000000" w:rsidRPr="00000000">
        <w:rPr>
          <w:b w:val="1"/>
          <w:rtl w:val="0"/>
        </w:rPr>
        <w:t xml:space="preserve">20 MB (у тому числі сам лист, додатки та заголовки)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При великих розмірах файлу з технічним описом, останні мають надсилатися окремо перед кінцевим строком подання пропозицій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 Процедура оцінки пропозицій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Оцінка технічних пропозицій (максимально 100 балів)</w:t>
      </w:r>
    </w:p>
    <w:p w:rsidR="00000000" w:rsidDel="00000000" w:rsidP="00000000" w:rsidRDefault="00000000" w:rsidRPr="00000000" w14:paraId="0000008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  <w:t xml:space="preserve">Технічні пропозиції оцінюватимуться на відповідність вимогам до послуг /ТЗ, зазначеним у Розділі I, згідно з наведеними нижче критеріями оцінки.</w:t>
      </w:r>
    </w:p>
    <w:tbl>
      <w:tblPr>
        <w:tblStyle w:val="Table5"/>
        <w:tblW w:w="9981.0" w:type="dxa"/>
        <w:jc w:val="center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000"/>
      </w:tblPr>
      <w:tblGrid>
        <w:gridCol w:w="3396"/>
        <w:gridCol w:w="1558"/>
        <w:gridCol w:w="1842"/>
        <w:gridCol w:w="1560"/>
        <w:gridCol w:w="1614"/>
        <w:gridCol w:w="11"/>
        <w:tblGridChange w:id="0">
          <w:tblGrid>
            <w:gridCol w:w="3396"/>
            <w:gridCol w:w="1558"/>
            <w:gridCol w:w="1842"/>
            <w:gridCol w:w="1560"/>
            <w:gridCol w:w="1614"/>
            <w:gridCol w:w="11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Критерії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[A] Максимальна кількість балів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[B]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Бали, присвоєні постачальнику послуг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[C]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Вага (%)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[B] x [C] = [D]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Загальний бал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Запропоновані часові рамки відповідають ТЗ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35%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Відповідність запропонованих локацій для розміщення до ТЗ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35%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Кваліфікація та доступність фахівців для виконання заданого об’єму роботи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30%</w:t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jc w:val="righ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Загальний бал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Наступна шкала оцінювання буде використана для забезпечення об'єктивної оцінки:</w:t>
      </w:r>
    </w:p>
    <w:tbl>
      <w:tblPr>
        <w:tblStyle w:val="Table6"/>
        <w:tblW w:w="8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05"/>
        <w:gridCol w:w="2045"/>
        <w:tblGridChange w:id="0">
          <w:tblGrid>
            <w:gridCol w:w="6505"/>
            <w:gridCol w:w="204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color w:val="f2f2f2"/>
              </w:rPr>
            </w:pPr>
            <w:r w:rsidDel="00000000" w:rsidR="00000000" w:rsidRPr="00000000">
              <w:rPr>
                <w:color w:val="f2f2f2"/>
                <w:rtl w:val="0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f2f2f2"/>
              </w:rPr>
            </w:pPr>
            <w:r w:rsidDel="00000000" w:rsidR="00000000" w:rsidRPr="00000000">
              <w:rPr>
                <w:color w:val="f2f2f2"/>
                <w:rtl w:val="0"/>
              </w:rPr>
              <w:t xml:space="preserve">Бали зі 100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Значно перевищує вимоги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 – 100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Перевищує вимоги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– 89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Відповідає вимогам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 – 79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Не відповідає вимогам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 70</w:t>
            </w:r>
          </w:p>
        </w:tc>
      </w:tr>
    </w:tbl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Лише ті технічні пропозиції, що набрали 70 та більше балів, будуть відібрані для розгляду відповідної фінансової пропозиції.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Фінансова оцінка (максимально 100 балів)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2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123"/>
        <w:gridCol w:w="2325"/>
        <w:gridCol w:w="2792"/>
        <w:tblGridChange w:id="0">
          <w:tblGrid>
            <w:gridCol w:w="2123"/>
            <w:gridCol w:w="2325"/>
            <w:gridCol w:w="279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-10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Фінансова оцінка =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Найнижча подана ціна ($)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-10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 100 (Максимальна кількість балів)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Цінова пропозиція, яка оцінюється ($)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Style w:val="Heading2"/>
        <w:keepLines w:val="1"/>
        <w:tabs>
          <w:tab w:val="left" w:pos="-180"/>
          <w:tab w:val="right" w:pos="1980"/>
          <w:tab w:val="left" w:pos="2160"/>
          <w:tab w:val="left" w:pos="4320"/>
        </w:tabs>
        <w:spacing w:before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Загальний бал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Сумарна оцінка для кожної пропозиції буде середньозваженою сумою оцінки за технічну та фінансову пропозиції.</w:t>
      </w:r>
    </w:p>
    <w:tbl>
      <w:tblPr>
        <w:tblStyle w:val="Table8"/>
        <w:tblW w:w="6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3"/>
        <w:tblGridChange w:id="0">
          <w:tblGrid>
            <w:gridCol w:w="652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-10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Загальний бал =70% Технічної оцінки + 30% Фінансової оцінки</w:t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VI. Визначення переможця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Договір на термін до 30 квітня 2022 року між UNFPA та постачальником буде укладено з тим претендентом, чия пропозиція отримає найвищий загальний бал.</w:t>
      </w:r>
    </w:p>
    <w:p w:rsidR="00000000" w:rsidDel="00000000" w:rsidP="00000000" w:rsidRDefault="00000000" w:rsidRPr="00000000" w14:paraId="000000C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Право на змінення вимог під час прийняття рішень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Фонд ООН у галузі народонаселення</w:t>
      </w:r>
      <w:r w:rsidDel="00000000" w:rsidR="00000000" w:rsidRPr="00000000">
        <w:rPr>
          <w:color w:val="000000"/>
          <w:rtl w:val="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Умови оплати</w:t>
      </w:r>
    </w:p>
    <w:p w:rsidR="00000000" w:rsidDel="00000000" w:rsidP="00000000" w:rsidRDefault="00000000" w:rsidRPr="00000000" w14:paraId="000000CB">
      <w:pPr>
        <w:tabs>
          <w:tab w:val="left" w:pos="-180"/>
          <w:tab w:val="left" w:pos="-90"/>
        </w:tabs>
        <w:jc w:val="both"/>
        <w:rPr/>
      </w:pPr>
      <w:r w:rsidDel="00000000" w:rsidR="00000000" w:rsidRPr="00000000">
        <w:rPr>
          <w:rtl w:val="0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 w:rsidDel="00000000" w:rsidR="00000000" w:rsidRPr="00000000">
          <w:rPr>
            <w:rtl w:val="0"/>
          </w:rPr>
          <w:t xml:space="preserve">www.treasury.un.org</w:t>
        </w:r>
      </w:hyperlink>
      <w:r w:rsidDel="00000000" w:rsidR="00000000" w:rsidRPr="00000000">
        <w:rPr>
          <w:rtl w:val="0"/>
        </w:rPr>
        <w:t xml:space="preserve"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IX. </w:t>
      </w:r>
      <w:hyperlink r:id="rId10">
        <w:r w:rsidDel="00000000" w:rsidR="00000000" w:rsidRPr="00000000">
          <w:rPr>
            <w:b w:val="1"/>
            <w:rtl w:val="0"/>
          </w:rPr>
          <w:t xml:space="preserve">Шахрайство</w:t>
        </w:r>
      </w:hyperlink>
      <w:r w:rsidDel="00000000" w:rsidR="00000000" w:rsidRPr="00000000">
        <w:rPr>
          <w:b w:val="1"/>
          <w:rtl w:val="0"/>
        </w:rPr>
        <w:t xml:space="preserve"> і корупція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FraudPolicy</w:t>
        </w:r>
      </w:hyperlink>
      <w:r w:rsidDel="00000000" w:rsidR="00000000" w:rsidRPr="00000000">
        <w:rPr>
          <w:color w:val="000000"/>
          <w:rtl w:val="0"/>
        </w:rPr>
        <w:t xml:space="preserve">. Подання пропозицій учасником передбачає, що останній ознайомлений з даними правилами.</w:t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UNFPAInvestigationHotline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X. Політика нульової толерантності</w:t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ZeroTolerancePolicy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XI. Опротестування процесу подання пропозицій</w:t>
      </w:r>
    </w:p>
    <w:p w:rsidR="00000000" w:rsidDel="00000000" w:rsidP="00000000" w:rsidRDefault="00000000" w:rsidRPr="00000000" w14:paraId="000000D3">
      <w:pPr>
        <w:tabs>
          <w:tab w:val="left" w:pos="851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4">
        <w:r w:rsidDel="00000000" w:rsidR="00000000" w:rsidRPr="00000000">
          <w:rPr>
            <w:rtl w:val="0"/>
          </w:rPr>
          <w:t xml:space="preserve">kompaniiets@unfpa.org</w:t>
        </w:r>
      </w:hyperlink>
      <w:r w:rsidDel="00000000" w:rsidR="00000000" w:rsidRPr="00000000">
        <w:rPr>
          <w:rtl w:val="0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Фонду ООН у галузі народонаселення </w:t>
      </w:r>
      <w:hyperlink r:id="rId15">
        <w:r w:rsidDel="00000000" w:rsidR="00000000" w:rsidRPr="00000000">
          <w:rPr>
            <w:color w:val="003366"/>
            <w:u w:val="single"/>
            <w:rtl w:val="0"/>
          </w:rPr>
          <w:t xml:space="preserve">procurement@unfpa.org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XII. Зауваження</w:t>
      </w:r>
    </w:p>
    <w:p w:rsidR="00000000" w:rsidDel="00000000" w:rsidP="00000000" w:rsidRDefault="00000000" w:rsidRPr="00000000" w14:paraId="000000D5">
      <w:pPr>
        <w:jc w:val="both"/>
        <w:rPr/>
      </w:pPr>
      <w:r w:rsidDel="00000000" w:rsidR="00000000" w:rsidRPr="00000000">
        <w:rPr>
          <w:rtl w:val="0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000000" w:rsidDel="00000000" w:rsidP="00000000" w:rsidRDefault="00000000" w:rsidRPr="00000000" w14:paraId="000000D6">
      <w:pPr>
        <w:rPr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rtl w:val="0"/>
        </w:rPr>
        <w:t xml:space="preserve">БЛАНК ЦІНОВОЇ ПРОПОЗИЦІЇ</w:t>
      </w:r>
      <w:r w:rsidDel="00000000" w:rsidR="00000000" w:rsidRPr="00000000">
        <w:rPr>
          <w:b w:val="1"/>
          <w:smallCaps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6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6664"/>
        <w:gridCol w:w="3112"/>
        <w:tblGridChange w:id="0">
          <w:tblGrid>
            <w:gridCol w:w="6664"/>
            <w:gridCol w:w="3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Найменування претендента: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Дата подання: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Номер запиту: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RFQNº UNFPA/UKR/RFQ/22/06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Валюта: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UAH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Термін дії цінової пропозиції: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(пропозиція має бути чинною протягом щонайменше 3 місяців після кінцевого строку надсилання пропозицій)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1"/>
                <w:szCs w:val="21"/>
                <w:u w:val="single"/>
                <w:rtl w:val="0"/>
              </w:rPr>
              <w:t xml:space="preserve">Пропозиції надаються без урахування ПДВ оскільки Фонд ООН у галузі народонаселення звільнено від сплати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65.0" w:type="dxa"/>
        <w:jc w:val="left"/>
        <w:tblInd w:w="-431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850"/>
        <w:gridCol w:w="6663"/>
        <w:gridCol w:w="2552"/>
        <w:tblGridChange w:id="0">
          <w:tblGrid>
            <w:gridCol w:w="850"/>
            <w:gridCol w:w="6663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Пункт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Опис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2f2f2"/>
                <w:rtl w:val="0"/>
              </w:rPr>
              <w:t xml:space="preserve">Ціна, грн., без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Загальна СУМА, грн., без ПДВ.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200775" cy="39158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5138" y="3593734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Коментарі: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200775" cy="391583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915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b w:val="1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Цим засвідчую, що вище вказана компанія, яку я уповноважений представляти, переглянула </w:t>
      </w:r>
      <w:r w:rsidDel="00000000" w:rsidR="00000000" w:rsidRPr="00000000">
        <w:rPr>
          <w:b w:val="1"/>
          <w:rtl w:val="0"/>
        </w:rPr>
        <w:t xml:space="preserve">Запит на Подання Пропозицій RFQ Nº UNFPA/UKR/RFQ/22/06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00"/>
          <w:rtl w:val="0"/>
        </w:rPr>
        <w:t xml:space="preserve">Розробка і розміщення зовнішньої соціальної реклами «Бути татом – бути поруч»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  <w:r w:rsidDel="00000000" w:rsidR="00000000" w:rsidRPr="00000000">
        <w:rPr>
          <w:rtl w:val="0"/>
        </w:rPr>
      </w:r>
    </w:p>
    <w:tbl>
      <w:tblPr>
        <w:tblStyle w:val="Table11"/>
        <w:tblW w:w="924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623"/>
        <w:gridCol w:w="2309"/>
        <w:gridCol w:w="2310"/>
        <w:tblGridChange w:id="0">
          <w:tblGrid>
            <w:gridCol w:w="4623"/>
            <w:gridCol w:w="2309"/>
            <w:gridCol w:w="2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Ім’я, прізвище та посада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та місце</w:t>
            </w:r>
          </w:p>
        </w:tc>
      </w:tr>
    </w:tbl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I:</w:t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Загальні умови договору:</w:t>
      </w:r>
    </w:p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Minimis Contracts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7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7020"/>
        </w:tabs>
        <w:rPr/>
      </w:pPr>
      <w:r w:rsidDel="00000000" w:rsidR="00000000" w:rsidRPr="00000000">
        <w:rPr>
          <w:rtl w:val="0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English,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Spanish</w:t>
        </w:r>
      </w:hyperlink>
      <w:r w:rsidDel="00000000" w:rsidR="00000000" w:rsidRPr="00000000">
        <w:rPr>
          <w:rtl w:val="0"/>
        </w:rPr>
        <w:t xml:space="preserve"> і </w:t>
      </w: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French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9" w:w="11907" w:orient="portrait"/>
      <w:pgMar w:bottom="850" w:top="850" w:left="141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United Nations Population Fund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9525</wp:posOffset>
          </wp:positionV>
          <wp:extent cx="971550" cy="457200"/>
          <wp:effectExtent b="0" l="0" r="0" t="0"/>
          <wp:wrapSquare wrapText="bothSides" distB="0" distT="0" distL="114300" distR="114300"/>
          <wp:docPr descr="clouored%20logo" id="12" name="image1.png"/>
          <a:graphic>
            <a:graphicData uri="http://schemas.openxmlformats.org/drawingml/2006/picture">
              <pic:pic>
                <pic:nvPicPr>
                  <pic:cNvPr descr="clouored%20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CO Ukraine</w:t>
    </w:r>
  </w:p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E-mail: ukraine.office@unfpa.org</w:t>
    </w:r>
  </w:p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Website: </w:t>
    </w:r>
    <w:hyperlink r:id="rId2">
      <w:r w:rsidDel="00000000" w:rsidR="00000000" w:rsidRPr="00000000">
        <w:rPr>
          <w:color w:val="0563c1"/>
          <w:sz w:val="18"/>
          <w:szCs w:val="18"/>
          <w:u w:val="single"/>
          <w:rtl w:val="0"/>
        </w:rPr>
        <w:t xml:space="preserve">www.unfpa.org.ua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righ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Normal" w:default="1">
    <w:name w:val="Normal"/>
    <w:qFormat w:val="1"/>
    <w:rsid w:val="00FE3007"/>
  </w:style>
  <w:style w:type="paragraph" w:styleId="Heading1">
    <w:name w:val="heading 1"/>
    <w:basedOn w:val="Normal"/>
    <w:next w:val="Normal"/>
    <w:link w:val="Heading1Char"/>
    <w:uiPriority w:val="9"/>
    <w:qFormat w:val="1"/>
    <w:rsid w:val="00C132E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9502B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Cs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661CED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 w:val="1"/>
    <w:rsid w:val="00467972"/>
    <w:pPr>
      <w:ind w:left="720"/>
      <w:contextualSpacing w:val="1"/>
    </w:pPr>
  </w:style>
  <w:style w:type="paragraph" w:styleId="Figure1" w:customStyle="1">
    <w:name w:val="Figure_1"/>
    <w:link w:val="Figure1Char"/>
    <w:autoRedefine w:val="1"/>
    <w:rsid w:val="00DC2D29"/>
    <w:pPr>
      <w:overflowPunct w:val="0"/>
      <w:autoSpaceDE w:val="0"/>
      <w:autoSpaceDN w:val="0"/>
      <w:adjustRightInd w:val="0"/>
      <w:spacing w:after="60" w:before="60" w:line="240" w:lineRule="auto"/>
      <w:textAlignment w:val="baseline"/>
    </w:pPr>
    <w:rPr>
      <w:rFonts w:cs="Times New Roman" w:eastAsia="Times New Roman"/>
      <w:bCs w:val="1"/>
      <w:lang w:val="en-GB"/>
    </w:rPr>
  </w:style>
  <w:style w:type="character" w:styleId="Figure1Char" w:customStyle="1">
    <w:name w:val="Figure_1 Char"/>
    <w:link w:val="Figure1"/>
    <w:locked w:val="1"/>
    <w:rsid w:val="00DC2D29"/>
    <w:rPr>
      <w:rFonts w:ascii="Calibri" w:cs="Times New Roman" w:eastAsia="Times New Roman" w:hAnsi="Calibri"/>
      <w:bCs w:val="1"/>
      <w:lang w:val="en-GB"/>
    </w:rPr>
  </w:style>
  <w:style w:type="character" w:styleId="Heading2Char" w:customStyle="1">
    <w:name w:val="Heading 2 Char"/>
    <w:basedOn w:val="DefaultParagraphFont"/>
    <w:link w:val="Heading2"/>
    <w:rsid w:val="0049502B"/>
    <w:rPr>
      <w:rFonts w:ascii="Times New Roman" w:cs="Times New Roman" w:eastAsia="Times New Roman" w:hAnsi="Times New Roman"/>
      <w:b w:val="1"/>
      <w:bCs w:val="1"/>
      <w:szCs w:val="20"/>
    </w:rPr>
  </w:style>
  <w:style w:type="paragraph" w:styleId="letter" w:customStyle="1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ListParagraphChar" w:customStyle="1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 w:val="1"/>
    <w:locked w:val="1"/>
    <w:rsid w:val="0049502B"/>
  </w:style>
  <w:style w:type="paragraph" w:styleId="Caption">
    <w:name w:val="caption"/>
    <w:basedOn w:val="Normal"/>
    <w:next w:val="Normal"/>
    <w:qFormat w:val="1"/>
    <w:rsid w:val="008750B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0"/>
    </w:rPr>
  </w:style>
  <w:style w:type="paragraph" w:styleId="Header">
    <w:name w:val="header"/>
    <w:basedOn w:val="Normal"/>
    <w:link w:val="HeaderChar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750B0"/>
    <w:rPr>
      <w:rFonts w:ascii="Tahoma" w:cs="Tahoma" w:eastAsia="Times New Roman" w:hAnsi="Tahoma"/>
      <w:sz w:val="16"/>
      <w:szCs w:val="16"/>
    </w:rPr>
  </w:style>
  <w:style w:type="character" w:styleId="PlaceholderText">
    <w:name w:val="Placeholder Text"/>
    <w:uiPriority w:val="99"/>
    <w:semiHidden w:val="1"/>
    <w:rsid w:val="006C481D"/>
    <w:rPr>
      <w:color w:val="808080"/>
    </w:rPr>
  </w:style>
  <w:style w:type="character" w:styleId="TitleChar" w:customStyle="1">
    <w:name w:val="Title Char"/>
    <w:basedOn w:val="DefaultParagraphFont"/>
    <w:link w:val="Title"/>
    <w:rsid w:val="00661CED"/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132E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4526D"/>
    <w:rPr>
      <w:rFonts w:ascii="Times New Roman" w:cs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47A88"/>
    <w:pPr>
      <w:overflowPunct w:val="1"/>
      <w:autoSpaceDE w:val="1"/>
      <w:autoSpaceDN w:val="1"/>
      <w:adjustRightInd w:val="1"/>
      <w:spacing w:after="160"/>
      <w:jc w:val="left"/>
    </w:pPr>
    <w:rPr>
      <w:rFonts w:asciiTheme="minorHAnsi" w:cstheme="minorBidi" w:eastAsiaTheme="minorHAnsi" w:hAnsiTheme="minorHAnsi"/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47A88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F51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" w:customStyle="1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0C32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F092F"/>
    <w:rPr>
      <w:color w:val="605e5c"/>
      <w:shd w:color="auto" w:fill="e1dfdd" w:val="clear"/>
    </w:r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://www.unfpa.org/resources/fraud-policy-2009#overlay-context=node/10356/draft" TargetMode="External"/><Relationship Id="rId10" Type="http://schemas.openxmlformats.org/officeDocument/2006/relationships/hyperlink" Target="http://www.unfpa.org/about-procurement#FraudCorruption" TargetMode="External"/><Relationship Id="rId13" Type="http://schemas.openxmlformats.org/officeDocument/2006/relationships/hyperlink" Target="http://www.unfpa.org/about-procurement#ZeroTolerance" TargetMode="External"/><Relationship Id="rId12" Type="http://schemas.openxmlformats.org/officeDocument/2006/relationships/hyperlink" Target="http://web2.unfpa.org/help/hotline.c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reasury.un.org" TargetMode="External"/><Relationship Id="rId15" Type="http://schemas.openxmlformats.org/officeDocument/2006/relationships/hyperlink" Target="mailto:procurement@unfpa.org" TargetMode="External"/><Relationship Id="rId14" Type="http://schemas.openxmlformats.org/officeDocument/2006/relationships/hyperlink" Target="mailto:kompaniiets@unfpa.org" TargetMode="External"/><Relationship Id="rId17" Type="http://schemas.openxmlformats.org/officeDocument/2006/relationships/hyperlink" Target="http://www.unfpa.org/resources/unfpa-general-conditions-de-minimis-contracts" TargetMode="External"/><Relationship Id="rId16" Type="http://schemas.openxmlformats.org/officeDocument/2006/relationships/image" Target="media/image2.png"/><Relationship Id="rId5" Type="http://schemas.openxmlformats.org/officeDocument/2006/relationships/numbering" Target="numbering.xm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6" Type="http://schemas.openxmlformats.org/officeDocument/2006/relationships/styles" Target="styles.xm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s://ukraine.unfpa.org/uk/%D0%BF%D1%80%D0%BE-%D0%BD%D0%B0%D1%8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nfp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Pr3qiIkQlq6DTX7qY7t2fPRrQ==">AMUW2mVRxIzPH3Yhyu0fWQl9953dHfLDml5LjrSSC59aak1eFzECEz6h/4cUGQCtldibB/mW/wUpl6O1iDGKs2j0gmc9NfHnfiM6Er0sG1d68VCjMotlpM1saVTDuvWahWqSotIeTkOxAe9Pt9SnkuqQ6j0gP4HC3w==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2022-01-19T13:54:00Z</dcterms:created>
  <dc:creator>Alona Zubchenko</dc:creator>
</cp:coreProperties>
</file>