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7" w:rsidRDefault="00347377">
      <w:pPr>
        <w:tabs>
          <w:tab w:val="left" w:pos="5400"/>
        </w:tabs>
        <w:spacing w:after="0" w:line="240" w:lineRule="auto"/>
        <w:jc w:val="right"/>
      </w:pPr>
    </w:p>
    <w:p w:rsidR="00347377" w:rsidRDefault="00751B6F">
      <w:pPr>
        <w:tabs>
          <w:tab w:val="left" w:pos="5400"/>
        </w:tabs>
        <w:spacing w:after="0" w:line="240" w:lineRule="auto"/>
        <w:jc w:val="right"/>
      </w:pPr>
      <w:bookmarkStart w:id="0" w:name="_heading=h.gjdgxs" w:colFirst="0" w:colLast="0"/>
      <w:bookmarkEnd w:id="0"/>
      <w:r>
        <w:t>Дата:  22 червня 2021</w:t>
      </w:r>
    </w:p>
    <w:p w:rsidR="00347377" w:rsidRDefault="0034737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:rsidR="00347377" w:rsidRDefault="0034737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:rsidR="00347377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Затверджено:</w:t>
      </w:r>
    </w:p>
    <w:p w:rsidR="00347377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п. Хайме Надаль</w:t>
      </w:r>
    </w:p>
    <w:p w:rsidR="00347377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Представник Фонду ООН у галузі народонаселення</w:t>
      </w:r>
    </w:p>
    <w:p w:rsidR="00347377" w:rsidRDefault="00347377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</w:pPr>
    </w:p>
    <w:p w:rsidR="00347377" w:rsidRDefault="00347377">
      <w:pPr>
        <w:spacing w:after="0" w:line="240" w:lineRule="auto"/>
        <w:jc w:val="center"/>
        <w:rPr>
          <w:b/>
        </w:rPr>
      </w:pPr>
    </w:p>
    <w:p w:rsidR="00347377" w:rsidRDefault="00751B6F">
      <w:pPr>
        <w:spacing w:after="0" w:line="240" w:lineRule="auto"/>
        <w:jc w:val="center"/>
        <w:rPr>
          <w:b/>
        </w:rPr>
      </w:pPr>
      <w:r>
        <w:rPr>
          <w:b/>
        </w:rPr>
        <w:t xml:space="preserve">ЗАПИТ НА ПОДАННЯ ПРОПОЗИЦІЙ </w:t>
      </w:r>
    </w:p>
    <w:p w:rsidR="00347377" w:rsidRDefault="00751B6F">
      <w:pPr>
        <w:spacing w:after="0" w:line="240" w:lineRule="auto"/>
        <w:jc w:val="center"/>
        <w:rPr>
          <w:b/>
        </w:rPr>
      </w:pPr>
      <w:r>
        <w:rPr>
          <w:b/>
        </w:rPr>
        <w:t>RFQ Nº UNFPA/UKR/RFQ/21/12</w:t>
      </w:r>
    </w:p>
    <w:p w:rsidR="00347377" w:rsidRDefault="00347377">
      <w:pPr>
        <w:spacing w:after="0" w:line="240" w:lineRule="auto"/>
        <w:jc w:val="center"/>
        <w:rPr>
          <w:b/>
        </w:rPr>
      </w:pPr>
    </w:p>
    <w:p w:rsidR="00347377" w:rsidRDefault="00347377">
      <w:pPr>
        <w:spacing w:after="0" w:line="240" w:lineRule="auto"/>
        <w:jc w:val="center"/>
      </w:pP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  <w:r>
        <w:t>Шановні пані / панове,</w:t>
      </w:r>
    </w:p>
    <w:p w:rsidR="00347377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</w:p>
    <w:p w:rsidR="00347377" w:rsidRDefault="00751B6F">
      <w:pPr>
        <w:spacing w:after="0" w:line="240" w:lineRule="auto"/>
        <w:jc w:val="both"/>
      </w:pPr>
      <w:r>
        <w:t>Фонд ООН у галузі народонаселення запрошує Вас надати цінову пропозицію на наступні послуги: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center"/>
        <w:rPr>
          <w:b/>
        </w:rPr>
      </w:pPr>
      <w:r>
        <w:rPr>
          <w:b/>
        </w:rPr>
        <w:t>Розробка стратегії та плану реалізації для інформаційної кампанії «Розірви коло»</w:t>
      </w:r>
    </w:p>
    <w:p w:rsidR="00347377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347377" w:rsidRDefault="00347377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І. Про UNFPA</w:t>
      </w:r>
    </w:p>
    <w:p w:rsidR="00347377" w:rsidRDefault="00347377">
      <w:pPr>
        <w:spacing w:after="0" w:line="240" w:lineRule="auto"/>
        <w:ind w:left="360"/>
        <w:jc w:val="both"/>
        <w:rPr>
          <w:b/>
        </w:rPr>
      </w:pP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ab/>
        <w:t>UNFPA, Фонд ООН у г</w:t>
      </w:r>
      <w:r>
        <w:t xml:space="preserve">алузі народонаселення,  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ab/>
        <w:t>UNFPA є провідною установою О</w:t>
      </w:r>
      <w:r>
        <w:t xml:space="preserve">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>
          <w:rPr>
            <w:color w:val="0070C0"/>
            <w:u w:val="single"/>
          </w:rPr>
          <w:t>U</w:t>
        </w:r>
        <w:r>
          <w:rPr>
            <w:color w:val="0070C0"/>
            <w:u w:val="single"/>
          </w:rPr>
          <w:t>NFPA about us</w:t>
        </w:r>
      </w:hyperlink>
      <w:r>
        <w:rPr>
          <w:color w:val="0070C0"/>
          <w:u w:val="single"/>
        </w:rPr>
        <w:t>.</w:t>
      </w:r>
    </w:p>
    <w:p w:rsidR="00347377" w:rsidRDefault="0034737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347377" w:rsidRDefault="00751B6F">
      <w:pPr>
        <w:spacing w:after="0" w:line="240" w:lineRule="auto"/>
        <w:rPr>
          <w:b/>
        </w:rPr>
      </w:pPr>
      <w:r>
        <w:rPr>
          <w:b/>
        </w:rPr>
        <w:t>Технічне завдання (ТЗ)</w:t>
      </w:r>
    </w:p>
    <w:p w:rsidR="00347377" w:rsidRDefault="00347377">
      <w:pPr>
        <w:spacing w:after="0" w:line="240" w:lineRule="auto"/>
        <w:rPr>
          <w:b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Передумови та опис програми</w:t>
      </w:r>
    </w:p>
    <w:p w:rsidR="00347377" w:rsidRDefault="00751B6F">
      <w:pPr>
        <w:spacing w:after="0" w:line="240" w:lineRule="auto"/>
        <w:ind w:firstLine="720"/>
        <w:jc w:val="both"/>
      </w:pPr>
      <w:r>
        <w:t xml:space="preserve">Із 2015 року Фонд ООН у галузі народонаселення впроваджує національну програму із протидії та запобіганню домашньому та гендерно зумовленому насильству (ГЗН) за підтримки уряду Великої Британії, Канади та Естонії. У межах програми створюються, зміцнюються </w:t>
      </w:r>
      <w:r>
        <w:t xml:space="preserve">і вдосконалюються національні механізми протидії і запобігання насильству. Робота програми зосереджена на чотирьох напрямах: </w:t>
      </w:r>
    </w:p>
    <w:p w:rsidR="00347377" w:rsidRDefault="00751B6F">
      <w:pPr>
        <w:spacing w:after="0" w:line="240" w:lineRule="auto"/>
        <w:ind w:firstLine="720"/>
        <w:jc w:val="both"/>
      </w:pPr>
      <w:r>
        <w:t>1. Розробка та вдосконалення законодавчої бази та національної політики.</w:t>
      </w:r>
    </w:p>
    <w:p w:rsidR="00347377" w:rsidRDefault="00751B6F">
      <w:pPr>
        <w:spacing w:after="0" w:line="240" w:lineRule="auto"/>
        <w:ind w:firstLine="720"/>
        <w:jc w:val="both"/>
      </w:pPr>
      <w:r>
        <w:t>2. Налагодження міжвідомчої взаємодії на національному та</w:t>
      </w:r>
      <w:r>
        <w:t xml:space="preserve"> місцевому рівнях. </w:t>
      </w:r>
    </w:p>
    <w:p w:rsidR="00347377" w:rsidRDefault="00751B6F">
      <w:pPr>
        <w:spacing w:after="0" w:line="240" w:lineRule="auto"/>
        <w:ind w:firstLine="720"/>
        <w:jc w:val="both"/>
      </w:pPr>
      <w:r>
        <w:t>3. Розбудова системи якісних послуг для постраждалих.</w:t>
      </w:r>
    </w:p>
    <w:p w:rsidR="00347377" w:rsidRDefault="00751B6F">
      <w:pPr>
        <w:spacing w:after="0" w:line="240" w:lineRule="auto"/>
        <w:ind w:firstLine="720"/>
        <w:jc w:val="both"/>
      </w:pPr>
      <w:r>
        <w:t>4. Підвищення обізнаності та зміна суспільного ставлення до проблеми насильства.</w:t>
      </w:r>
    </w:p>
    <w:p w:rsidR="00347377" w:rsidRDefault="00347377">
      <w:pPr>
        <w:spacing w:after="0" w:line="240" w:lineRule="auto"/>
        <w:ind w:firstLine="720"/>
        <w:jc w:val="both"/>
      </w:pPr>
    </w:p>
    <w:p w:rsidR="00347377" w:rsidRDefault="00751B6F">
      <w:pPr>
        <w:spacing w:after="0" w:line="240" w:lineRule="auto"/>
        <w:ind w:firstLine="720"/>
        <w:jc w:val="both"/>
      </w:pPr>
      <w:r>
        <w:t>У межах програми із 2015 року за підтримки уряду Великої Британії реалізується національна інформаці</w:t>
      </w:r>
      <w:r>
        <w:t xml:space="preserve">йно-просвітницька кампанія «Розірви коло», яка спрямована на утвердження нетерпимості до ГЗН у суспільстві.  </w:t>
      </w:r>
    </w:p>
    <w:p w:rsidR="00347377" w:rsidRDefault="00347377">
      <w:pPr>
        <w:spacing w:after="0" w:line="240" w:lineRule="auto"/>
        <w:ind w:firstLine="720"/>
        <w:jc w:val="both"/>
      </w:pPr>
    </w:p>
    <w:p w:rsidR="00347377" w:rsidRDefault="00751B6F">
      <w:pPr>
        <w:spacing w:after="0" w:line="240" w:lineRule="auto"/>
        <w:ind w:firstLine="708"/>
        <w:jc w:val="both"/>
      </w:pPr>
      <w:r>
        <w:t>За дослідженнями та опитуваннями UNFPA Україна:</w:t>
      </w:r>
    </w:p>
    <w:p w:rsidR="00347377" w:rsidRDefault="00751B6F">
      <w:pPr>
        <w:spacing w:after="0" w:line="240" w:lineRule="auto"/>
        <w:ind w:firstLine="708"/>
        <w:jc w:val="both"/>
      </w:pPr>
      <w:r>
        <w:t>·         кожна п'ята жінка в Україні стикається з насильством.</w:t>
      </w:r>
    </w:p>
    <w:p w:rsidR="00347377" w:rsidRDefault="00751B6F">
      <w:pPr>
        <w:spacing w:after="0" w:line="240" w:lineRule="auto"/>
        <w:ind w:firstLine="708"/>
        <w:jc w:val="both"/>
      </w:pPr>
      <w:r>
        <w:t>·         кожен четвертий україне</w:t>
      </w:r>
      <w:r>
        <w:t>ць допускає, що фізичне насильство можна виправдати.</w:t>
      </w:r>
    </w:p>
    <w:p w:rsidR="00347377" w:rsidRDefault="00751B6F">
      <w:pPr>
        <w:spacing w:after="0" w:line="240" w:lineRule="auto"/>
        <w:ind w:firstLine="708"/>
        <w:jc w:val="both"/>
      </w:pPr>
      <w:r>
        <w:t>·         половина населення не розуміє, що таке економічне та психологічне насильство.</w:t>
      </w:r>
    </w:p>
    <w:p w:rsidR="00347377" w:rsidRDefault="00347377">
      <w:pPr>
        <w:spacing w:after="0" w:line="240" w:lineRule="auto"/>
        <w:ind w:firstLine="708"/>
        <w:jc w:val="both"/>
      </w:pPr>
    </w:p>
    <w:p w:rsidR="00347377" w:rsidRDefault="00751B6F">
      <w:pPr>
        <w:spacing w:after="0" w:line="240" w:lineRule="auto"/>
        <w:jc w:val="both"/>
      </w:pPr>
      <w:r>
        <w:t>Із 2015 року умовно кампанію можна поділити на дві хвилі:</w:t>
      </w:r>
    </w:p>
    <w:p w:rsidR="00347377" w:rsidRDefault="00751B6F">
      <w:pPr>
        <w:spacing w:after="0" w:line="240" w:lineRule="auto"/>
        <w:jc w:val="both"/>
      </w:pPr>
      <w:r>
        <w:t>1)  2015 – 2017 рік. Цільова аудиторія – жінки. Меседж «</w:t>
      </w:r>
      <w:r>
        <w:t xml:space="preserve">Розірви коло насильства – звернись за допомогою». Ключовий меседж транслюється через відеоролик </w:t>
      </w:r>
      <w:hyperlink r:id="rId9">
        <w:r>
          <w:rPr>
            <w:color w:val="0563C1"/>
            <w:u w:val="single"/>
          </w:rPr>
          <w:t>«Розірви коло».</w:t>
        </w:r>
      </w:hyperlink>
      <w:r>
        <w:t xml:space="preserve">  У даний період створюється Facebook сторінка кампанії </w:t>
      </w:r>
      <w:hyperlink r:id="rId10">
        <w:r>
          <w:rPr>
            <w:color w:val="0563C1"/>
            <w:u w:val="single"/>
          </w:rPr>
          <w:t>«Розірви коло»</w:t>
        </w:r>
      </w:hyperlink>
      <w:r>
        <w:t>, запускається сайт rozirvykolo.org, інформаційні матеріали поширюються через телевізійну та зовнішню рекламу, мають місце спеціальні активності до міжнародної акції «16 днів активізму проти гендерно зумовленого</w:t>
      </w:r>
      <w:r>
        <w:t xml:space="preserve"> насильства».</w:t>
      </w:r>
    </w:p>
    <w:p w:rsidR="00347377" w:rsidRDefault="00751B6F">
      <w:pPr>
        <w:spacing w:after="0" w:line="240" w:lineRule="auto"/>
        <w:jc w:val="both"/>
      </w:pPr>
      <w:r>
        <w:t>2) 2017 – 2020. Цільова аудиторія розширюється не лише із постраждалих, але і до свідків. Ядром аудиторії залишаються жінки. Розробляється оновлена концепція та меседж «Розірви коло – насильство не є нормою». Кампанія працює над зміною поведі</w:t>
      </w:r>
      <w:r>
        <w:t>нки через:</w:t>
      </w:r>
    </w:p>
    <w:p w:rsidR="00347377" w:rsidRDefault="00751B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підвищення обізнаності про види та ознаки насильства;</w:t>
      </w:r>
    </w:p>
    <w:p w:rsidR="00347377" w:rsidRDefault="00751B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інформування суспільства про сервіси допомоги;</w:t>
      </w:r>
    </w:p>
    <w:p w:rsidR="00347377" w:rsidRDefault="00751B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поширення порад про те, як діяти в ситуаціях насильства;</w:t>
      </w:r>
    </w:p>
    <w:p w:rsidR="00347377" w:rsidRDefault="00751B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розвіювання міфів і стереотипів.</w:t>
      </w:r>
    </w:p>
    <w:p w:rsidR="00347377" w:rsidRDefault="00347377">
      <w:pPr>
        <w:spacing w:after="0" w:line="240" w:lineRule="auto"/>
        <w:ind w:firstLine="408"/>
        <w:jc w:val="both"/>
      </w:pPr>
    </w:p>
    <w:p w:rsidR="00347377" w:rsidRDefault="00751B6F">
      <w:pPr>
        <w:spacing w:after="0" w:line="240" w:lineRule="auto"/>
        <w:ind w:firstLine="408"/>
        <w:jc w:val="both"/>
      </w:pPr>
      <w:r>
        <w:t>Відеокампанії цього періоду:</w:t>
      </w:r>
    </w:p>
    <w:p w:rsidR="00347377" w:rsidRDefault="00751B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ключовий ролик </w:t>
      </w:r>
      <w:hyperlink r:id="rId11">
        <w:r>
          <w:rPr>
            <w:color w:val="0563C1"/>
            <w:u w:val="single"/>
          </w:rPr>
          <w:t>«Розірви коло насильства»</w:t>
        </w:r>
      </w:hyperlink>
      <w:r>
        <w:rPr>
          <w:color w:val="000000"/>
        </w:rPr>
        <w:t>;</w:t>
      </w:r>
    </w:p>
    <w:p w:rsidR="00347377" w:rsidRDefault="00751B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2">
        <w:r>
          <w:rPr>
            <w:color w:val="0563C1"/>
            <w:u w:val="single"/>
          </w:rPr>
          <w:t>«Міфи про домашнє насильство»;</w:t>
        </w:r>
      </w:hyperlink>
    </w:p>
    <w:p w:rsidR="00347377" w:rsidRDefault="00751B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3">
        <w:r>
          <w:rPr>
            <w:color w:val="0563C1"/>
            <w:u w:val="single"/>
          </w:rPr>
          <w:t>«Домашнє насильство: як діяти»;</w:t>
        </w:r>
      </w:hyperlink>
    </w:p>
    <w:p w:rsidR="00347377" w:rsidRDefault="00751B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4">
        <w:r>
          <w:rPr>
            <w:color w:val="0563C1"/>
            <w:u w:val="single"/>
          </w:rPr>
          <w:t>«Українські зірки проти домашнього насильства»;</w:t>
        </w:r>
      </w:hyperlink>
    </w:p>
    <w:p w:rsidR="00347377" w:rsidRDefault="0034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347377" w:rsidRDefault="00751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У цей період оновлюється веб-сайт </w:t>
      </w:r>
      <w:hyperlink r:id="rId15">
        <w:r>
          <w:rPr>
            <w:color w:val="1155CC"/>
            <w:u w:val="single"/>
          </w:rPr>
          <w:t>https://rozirvykolo.org/</w:t>
        </w:r>
      </w:hyperlink>
      <w:r>
        <w:t xml:space="preserve"> який стає найбільшим інформаційним хабом з питань насильства в Україні. Також створюється єдиний фірмовий стиль, в рамках якого формуються візуальні рішення кампанії.  </w:t>
      </w:r>
    </w:p>
    <w:p w:rsidR="00347377" w:rsidRDefault="00347377">
      <w:pPr>
        <w:spacing w:after="0" w:line="240" w:lineRule="auto"/>
        <w:ind w:firstLine="408"/>
        <w:jc w:val="both"/>
      </w:pPr>
    </w:p>
    <w:p w:rsidR="00347377" w:rsidRDefault="00751B6F">
      <w:pPr>
        <w:spacing w:after="0" w:line="240" w:lineRule="auto"/>
        <w:ind w:firstLine="408"/>
        <w:jc w:val="both"/>
      </w:pPr>
      <w:r>
        <w:t>Таким чином із 2015</w:t>
      </w:r>
      <w:r>
        <w:t xml:space="preserve"> року активності «Розірви коло» розвинулися у комплексну національну інформаційно-просвітницьку кампанію, що сьогодні досягає аудиторію як через онлайн, так і офлайн канали, а ініціальне завдання, що полягало у поширенні корисних контактів для постраждалих</w:t>
      </w:r>
      <w:r>
        <w:t xml:space="preserve"> та їх спонукання звертатися за допомогою трансформувалося в нову стратегічну ціль  -  утвердження нульової толерантності до гендерно зумовленого насильства в Україні та активізація участі свідків у вирішенні таких ситуацій.</w:t>
      </w:r>
    </w:p>
    <w:p w:rsidR="00347377" w:rsidRDefault="00751B6F">
      <w:pPr>
        <w:spacing w:after="0" w:line="240" w:lineRule="auto"/>
        <w:ind w:firstLine="720"/>
        <w:jc w:val="both"/>
      </w:pPr>
      <w:r>
        <w:t>Із 2019 року для дослідження су</w:t>
      </w:r>
      <w:r>
        <w:t xml:space="preserve">спільної свідомості щодо питання домашнього та гендерно зумовленого насильства UNFPA Україна проводить національні опитування (Омнібус). Результати за 2021 із ретроспективою до 2019 року рік можна переглянути </w:t>
      </w:r>
      <w:hyperlink r:id="rId16">
        <w:r>
          <w:rPr>
            <w:color w:val="0563C1"/>
            <w:u w:val="single"/>
          </w:rPr>
          <w:t>тут.</w:t>
        </w:r>
      </w:hyperlink>
      <w:r>
        <w:t xml:space="preserve"> Результати опитування використовуються для планування активностей кампанії та оцінки проведеної роботи. За результатами Омнібусу 2020 року - кожен четвертий українець знає про кампанію «Розірви коло».</w:t>
      </w:r>
    </w:p>
    <w:p w:rsidR="00347377" w:rsidRDefault="00751B6F">
      <w:pPr>
        <w:spacing w:after="0" w:line="240" w:lineRule="auto"/>
        <w:ind w:firstLine="720"/>
        <w:jc w:val="both"/>
      </w:pPr>
      <w:r>
        <w:t>Ознайомитися детальніше із кампані</w:t>
      </w:r>
      <w:r>
        <w:t xml:space="preserve">єю рекомендуємо із короткого </w:t>
      </w:r>
      <w:hyperlink r:id="rId17">
        <w:r>
          <w:rPr>
            <w:color w:val="0563C1"/>
            <w:u w:val="single"/>
          </w:rPr>
          <w:t>ролика.</w:t>
        </w:r>
      </w:hyperlink>
      <w:r>
        <w:t xml:space="preserve"> </w:t>
      </w:r>
    </w:p>
    <w:p w:rsidR="00347377" w:rsidRDefault="00347377">
      <w:pPr>
        <w:spacing w:after="0" w:line="240" w:lineRule="auto"/>
        <w:ind w:firstLine="720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II. Методологія</w:t>
      </w:r>
    </w:p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Обсяг роботи</w:t>
      </w:r>
    </w:p>
    <w:p w:rsidR="00347377" w:rsidRDefault="00751B6F">
      <w:pPr>
        <w:spacing w:after="0" w:line="240" w:lineRule="auto"/>
        <w:ind w:firstLine="720"/>
        <w:jc w:val="both"/>
      </w:pPr>
      <w:r>
        <w:t xml:space="preserve">Очікується, що обраний постачальник послуг розробить </w:t>
      </w:r>
      <w:r>
        <w:rPr>
          <w:b/>
          <w:u w:val="single"/>
        </w:rPr>
        <w:t>стратегію та план реалізації кампанії, відповідно до цієї стратегі</w:t>
      </w:r>
      <w:r>
        <w:rPr>
          <w:b/>
          <w:u w:val="single"/>
        </w:rPr>
        <w:t>ї,</w:t>
      </w:r>
      <w:r>
        <w:t xml:space="preserve"> для кампанії «Розірви коло» на період з 2021 до 2023 року (3 роки).</w:t>
      </w:r>
    </w:p>
    <w:p w:rsidR="00347377" w:rsidRDefault="00751B6F">
      <w:pPr>
        <w:spacing w:after="0" w:line="240" w:lineRule="auto"/>
        <w:ind w:firstLine="720"/>
        <w:jc w:val="both"/>
      </w:pPr>
      <w:r>
        <w:t>Концепція має передбачати два пов’язаних між собою рівні  імплементації – національний та регіональний (увага на громадах) і охоплювати усі регіони України з особливим фокусом на цільов</w:t>
      </w:r>
      <w:r>
        <w:t xml:space="preserve">их містах/громадах у рамках програми UNFPA з протидії та запобігання ГЗН. Цільові міста і громади будуть надаватися компанії, яка буде успішною в рамках цих торгів, на початку співпраці. </w:t>
      </w:r>
    </w:p>
    <w:p w:rsidR="00347377" w:rsidRDefault="00751B6F">
      <w:pPr>
        <w:spacing w:after="0" w:line="240" w:lineRule="auto"/>
        <w:ind w:firstLine="720"/>
        <w:jc w:val="both"/>
      </w:pPr>
      <w:r>
        <w:t xml:space="preserve">Передбачається, що обрана компанія </w:t>
      </w:r>
      <w:r>
        <w:rPr>
          <w:b/>
          <w:u w:val="single"/>
        </w:rPr>
        <w:t>забезпечить проведення соціологіч</w:t>
      </w:r>
      <w:r>
        <w:rPr>
          <w:b/>
          <w:u w:val="single"/>
        </w:rPr>
        <w:t>ного дослідження</w:t>
      </w:r>
      <w:r>
        <w:t xml:space="preserve"> (опитування, структуроване та / або глибинне інтерв'ю або фокус-групи) як для коректної ідентифікації цільових груп, потенційних комунікаційних бар’єрів, інсайтів і тд, так і для майбутньої оцінки проведених інтервенцій. Координація дослід</w:t>
      </w:r>
      <w:r>
        <w:t>ження та витрати на стороні Підрядника.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</w:pPr>
      <w:r>
        <w:lastRenderedPageBreak/>
        <w:t>Розробить</w:t>
      </w:r>
      <w:r>
        <w:rPr>
          <w:b/>
          <w:u w:val="single"/>
        </w:rPr>
        <w:t xml:space="preserve"> детальний план реалізації кампанії</w:t>
      </w:r>
      <w:r>
        <w:t xml:space="preserve"> на 3 роки, який буде включати запропоновані активності, формати та інструменти для досягнення мети кампанії (див. табличку нижче), а також міститиме такі окремі компонент</w:t>
      </w:r>
      <w:r>
        <w:t>и:</w:t>
      </w:r>
    </w:p>
    <w:p w:rsidR="00347377" w:rsidRDefault="00751B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Почесного Посла Фонду ООН у галузі народонаселення, Маші Єфросиніної до активностей кампанії. Очікуються детально описані, обмежені у часі формати взаємодії, які інтегруватимуться у загальну концепцію, але не стануть наріжними для кампанії загалом</w:t>
      </w:r>
      <w:r>
        <w:t>;</w:t>
      </w:r>
    </w:p>
    <w:p w:rsidR="00347377" w:rsidRDefault="00751B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компаній великого та середнього бізнесу (наприклад, </w:t>
      </w:r>
      <w:r>
        <w:t>медійний холдинг StarLightMedia)</w:t>
      </w:r>
      <w:r>
        <w:rPr>
          <w:color w:val="000000"/>
        </w:rPr>
        <w:t xml:space="preserve"> </w:t>
      </w:r>
      <w:r>
        <w:t>і</w:t>
      </w:r>
      <w:r>
        <w:rPr>
          <w:color w:val="000000"/>
        </w:rPr>
        <w:t xml:space="preserve"> компаній державного значення (наприклад, Укрпошта, Укрзалізниця). Має бути розроблений підхід взаємодії із чітко визначеними цілями та форматами</w:t>
      </w:r>
      <w:r>
        <w:t>;</w:t>
      </w:r>
    </w:p>
    <w:p w:rsidR="00347377" w:rsidRDefault="00751B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державних структур, при</w:t>
      </w:r>
      <w:r>
        <w:t>ватного сектору та лідерів думок у час акції “16 днів активізму проти гендерно зумовленого насильства”. Необхідний план інтервенцій кампанії “Розірви коло” в період даної акції, який може бути актуальним не один рік.</w:t>
      </w:r>
    </w:p>
    <w:p w:rsidR="00347377" w:rsidRDefault="00347377">
      <w:pPr>
        <w:spacing w:after="0" w:line="240" w:lineRule="auto"/>
        <w:ind w:firstLine="720"/>
        <w:jc w:val="both"/>
      </w:pPr>
    </w:p>
    <w:p w:rsidR="00347377" w:rsidRDefault="00751B6F">
      <w:pPr>
        <w:spacing w:after="0" w:line="240" w:lineRule="auto"/>
        <w:ind w:firstLine="720"/>
        <w:jc w:val="both"/>
        <w:rPr>
          <w:b/>
        </w:rPr>
      </w:pPr>
      <w:r>
        <w:t xml:space="preserve"> Тривалість імплементації концепції ка</w:t>
      </w:r>
      <w:r>
        <w:t>мпанії має бути розрахована</w:t>
      </w:r>
      <w:r>
        <w:rPr>
          <w:b/>
        </w:rPr>
        <w:t xml:space="preserve"> на 3 роки.</w:t>
      </w:r>
    </w:p>
    <w:p w:rsidR="00347377" w:rsidRDefault="00751B6F">
      <w:pPr>
        <w:spacing w:after="0" w:line="240" w:lineRule="auto"/>
        <w:ind w:firstLine="720"/>
        <w:jc w:val="both"/>
      </w:pPr>
      <w:r>
        <w:t xml:space="preserve"> </w:t>
      </w:r>
    </w:p>
    <w:p w:rsidR="00347377" w:rsidRDefault="00751B6F">
      <w:pPr>
        <w:spacing w:after="0" w:line="240" w:lineRule="auto"/>
        <w:ind w:firstLine="720"/>
        <w:jc w:val="both"/>
      </w:pPr>
      <w:r>
        <w:t xml:space="preserve">У розробці концепції необхідно враховувати усі попередні напрацювання та результати кампанії. Концепція має стати потужним </w:t>
      </w:r>
      <w:r>
        <w:rPr>
          <w:b/>
          <w:u w:val="single"/>
        </w:rPr>
        <w:t>продовженням</w:t>
      </w:r>
      <w:r>
        <w:t xml:space="preserve"> усіх попередніх активностей. </w:t>
      </w:r>
    </w:p>
    <w:p w:rsidR="00347377" w:rsidRDefault="00347377">
      <w:pPr>
        <w:spacing w:after="0" w:line="240" w:lineRule="auto"/>
        <w:ind w:firstLine="720"/>
        <w:jc w:val="both"/>
      </w:pPr>
    </w:p>
    <w:p w:rsidR="00347377" w:rsidRDefault="00751B6F">
      <w:pPr>
        <w:spacing w:after="0" w:line="240" w:lineRule="auto"/>
        <w:ind w:firstLine="720"/>
        <w:jc w:val="both"/>
      </w:pPr>
      <w:r>
        <w:t>Запропонована стратегія кампанії має містити чіткі визначення пріоритетних цільових груп, будуватися на позитивному підході (використанні позитивних меседжів та прикладів) та надавати перевагу не лише прямій рекламі, але й нативному способу передачі інформ</w:t>
      </w:r>
      <w:r>
        <w:t>ації, органічним чи вірусним поширенням інформації, залучати лідерів думок, місцевих лідерів, можливості поширення інформації через наявні ресурси соціальної реклами тощо.</w:t>
      </w:r>
    </w:p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 xml:space="preserve">Цілі і очікувані результати </w:t>
      </w:r>
    </w:p>
    <w:p w:rsidR="00347377" w:rsidRDefault="00751B6F">
      <w:pPr>
        <w:spacing w:after="0" w:line="240" w:lineRule="auto"/>
        <w:jc w:val="both"/>
      </w:pPr>
      <w:r>
        <w:t xml:space="preserve">Розроблена концепція кампанії має бути спрямованою на </w:t>
      </w:r>
      <w:r>
        <w:t xml:space="preserve">досягнення таких цілей: </w:t>
      </w:r>
    </w:p>
    <w:p w:rsidR="00347377" w:rsidRDefault="00751B6F">
      <w:pPr>
        <w:numPr>
          <w:ilvl w:val="0"/>
          <w:numId w:val="3"/>
        </w:numPr>
        <w:spacing w:after="0" w:line="240" w:lineRule="auto"/>
        <w:jc w:val="both"/>
      </w:pPr>
      <w:r>
        <w:t>Цілі, спрямовані на зміну суспільної свідомості та формування нетерпимості до будь-яких проявів насильства.</w:t>
      </w:r>
    </w:p>
    <w:tbl>
      <w:tblPr>
        <w:tblStyle w:val="afffc"/>
        <w:tblW w:w="10051" w:type="dxa"/>
        <w:tblLayout w:type="fixed"/>
        <w:tblLook w:val="0400" w:firstRow="0" w:lastRow="0" w:firstColumn="0" w:lastColumn="0" w:noHBand="0" w:noVBand="1"/>
      </w:tblPr>
      <w:tblGrid>
        <w:gridCol w:w="415"/>
        <w:gridCol w:w="3686"/>
        <w:gridCol w:w="2410"/>
        <w:gridCol w:w="1701"/>
        <w:gridCol w:w="1839"/>
      </w:tblGrid>
      <w:tr w:rsidR="00347377">
        <w:trPr>
          <w:trHeight w:val="311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77" w:rsidRDefault="003473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Меседж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 (драфт)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Індикатор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Ціль </w:t>
            </w:r>
          </w:p>
        </w:tc>
      </w:tr>
      <w:tr w:rsidR="00347377">
        <w:trPr>
          <w:trHeight w:val="1811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домашнє насильство не можна мовчати. Варто звертатися за допомогою до спеціалізованих сервісів </w:t>
            </w:r>
            <w:r>
              <w:rPr>
                <w:i/>
                <w:sz w:val="20"/>
                <w:szCs w:val="20"/>
              </w:rPr>
              <w:t>(гарячі лінії, мобільні бригади соціально-психологічної допомоги,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 xml:space="preserve"> первинні служби соціально-психологічного консультування, денні центри, кризові кімнати і п</w:t>
            </w:r>
            <w:r>
              <w:rPr>
                <w:i/>
                <w:sz w:val="20"/>
                <w:szCs w:val="20"/>
              </w:rPr>
              <w:t>ритулки)</w:t>
            </w:r>
            <w:r>
              <w:rPr>
                <w:sz w:val="20"/>
                <w:szCs w:val="20"/>
              </w:rPr>
              <w:t xml:space="preserve"> або поліції.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загальної кількості постраждалих (жінок), які звертались за допомогою щодо вирішення проблеми ГЗН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 жінок 18-74 зверталися за допомогою (OSCE 2019)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жінок (2026 р.)</w:t>
            </w:r>
          </w:p>
        </w:tc>
      </w:tr>
      <w:tr w:rsidR="00347377">
        <w:trPr>
          <w:trHeight w:val="1236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Жоден прояв насильства не може бути виправданим ні за яких </w:t>
            </w:r>
            <w:r>
              <w:rPr>
                <w:sz w:val="20"/>
                <w:szCs w:val="20"/>
              </w:rPr>
              <w:t>умов і є абсолютно неприйнятним. Особливий фокус на фізичному і сексуальному видах насильства, які є найбільш небезпечними для життя.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жінок та чоловіків, які вважають, що сексуальне та фізичне насильство не може бути виправдане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 жінок та 58% чоловіків</w:t>
            </w:r>
            <w:r>
              <w:rPr>
                <w:sz w:val="20"/>
                <w:szCs w:val="20"/>
              </w:rPr>
              <w:t xml:space="preserve"> вважають, що фізичне насильство не може бути виправданим (Омнібус, 2020)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 жінок та 73% чоловіків вважають, що сексуальне та фізичне насильство не може бути виправдане (2025)</w:t>
            </w:r>
          </w:p>
        </w:tc>
      </w:tr>
      <w:tr w:rsidR="00347377">
        <w:trPr>
          <w:trHeight w:val="121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Відповідальність за скоєне насильство лежить лише на кривдникові.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Запитання по типу: що ти зробила, щоб на тебе підняли руку, у чому вона була одягнена і тд не мають звучати, ні стигматизації та  хейту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жінок та чоловіків, які вважають, що лише кривдник несе повну відповідальність за сексуальне і гендерно зумовлене наси</w:t>
            </w:r>
            <w:r>
              <w:rPr>
                <w:sz w:val="20"/>
                <w:szCs w:val="20"/>
              </w:rPr>
              <w:t>льство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ОБСЄ (2019): 62% жінок</w:t>
            </w:r>
          </w:p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UNFPA (2018): 50% чоловіків по всій країні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 жінок та 65% чоловіків (2025)</w:t>
            </w:r>
          </w:p>
          <w:p w:rsidR="00347377" w:rsidRDefault="003473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7377">
        <w:trPr>
          <w:trHeight w:val="125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Готовність втрутитися у ситуацію домашнього насильства (і ГЗН) має бути звичної справою для кожної людини. Домашнє насильство - не приватна справа.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жінок і чоловіків, які вважають необхідним втрутитися у ситуацію насильства, щоб допомогти постраждалій о</w:t>
            </w:r>
            <w:r>
              <w:rPr>
                <w:sz w:val="20"/>
                <w:szCs w:val="20"/>
              </w:rPr>
              <w:t xml:space="preserve">собі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~60% (Омнібус 2021)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  <w:p w:rsidR="00347377" w:rsidRDefault="003473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Збільшення на 17% (2025)</w:t>
            </w:r>
          </w:p>
        </w:tc>
      </w:tr>
    </w:tbl>
    <w:p w:rsidR="00347377" w:rsidRDefault="00347377">
      <w:pPr>
        <w:spacing w:after="0" w:line="240" w:lineRule="auto"/>
        <w:jc w:val="both"/>
      </w:pPr>
    </w:p>
    <w:p w:rsidR="00347377" w:rsidRDefault="00751B6F">
      <w:pPr>
        <w:numPr>
          <w:ilvl w:val="0"/>
          <w:numId w:val="3"/>
        </w:numPr>
        <w:spacing w:after="0" w:line="240" w:lineRule="auto"/>
        <w:jc w:val="both"/>
      </w:pPr>
      <w:r>
        <w:t>Цілі, спрямовані на підвищення впізнаваності кампанії “Розірви коло”.</w:t>
      </w:r>
    </w:p>
    <w:tbl>
      <w:tblPr>
        <w:tblStyle w:val="afffd"/>
        <w:tblW w:w="9915" w:type="dxa"/>
        <w:tblLayout w:type="fixed"/>
        <w:tblLook w:val="0400" w:firstRow="0" w:lastRow="0" w:firstColumn="0" w:lastColumn="0" w:noHBand="0" w:noVBand="1"/>
      </w:tblPr>
      <w:tblGrid>
        <w:gridCol w:w="420"/>
        <w:gridCol w:w="2122"/>
        <w:gridCol w:w="2551"/>
        <w:gridCol w:w="4822"/>
      </w:tblGrid>
      <w:tr w:rsidR="00347377">
        <w:trPr>
          <w:trHeight w:val="27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77" w:rsidRDefault="003473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Ціль</w:t>
            </w:r>
          </w:p>
        </w:tc>
      </w:tr>
      <w:tr w:rsidR="00347377">
        <w:trPr>
          <w:trHeight w:val="21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Охоплення кампанії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осіб 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млн осіб охоплюється щороку кампанією “Розірви коло”</w:t>
            </w:r>
          </w:p>
        </w:tc>
      </w:tr>
      <w:tr w:rsidR="00347377">
        <w:trPr>
          <w:trHeight w:val="651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Впізнаваність кампанії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 українців/-ок знають про кампанію (травень 2021)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32 % українців знають про кампанію (березень 2022)</w:t>
            </w:r>
          </w:p>
          <w:p w:rsidR="00347377" w:rsidRDefault="00751B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40 % українців знають про кампанію (березень 2025)</w:t>
            </w:r>
          </w:p>
        </w:tc>
      </w:tr>
    </w:tbl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Очікувані продукти:</w:t>
      </w:r>
    </w:p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Стратегія кампанії.</w:t>
      </w:r>
    </w:p>
    <w:p w:rsidR="00347377" w:rsidRDefault="00751B6F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План реалізації кампанії (включно із таймфреймом і бюджетами).</w:t>
      </w:r>
    </w:p>
    <w:p w:rsidR="00347377" w:rsidRDefault="00751B6F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Звіт про проведені дослідження.</w:t>
      </w:r>
    </w:p>
    <w:p w:rsidR="00347377" w:rsidRDefault="00751B6F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Інші матеріали, які суттєво впливають на реалізацію кампанії і не можуть бути відокремленими від загальної стратегії (це можуть бути запропоновані ідеї окремих п</w:t>
      </w:r>
      <w:r>
        <w:rPr>
          <w:b/>
        </w:rPr>
        <w:t>ідкампаній до 16 днів, плани залучення Почесної Амбасадорки Маші Єфросиніної, сценарії роликів, розроблені візуали, концепція запуску нових платформ тощо).</w:t>
      </w:r>
    </w:p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За своєю структурою стратегія  кампанії повинна містити:</w:t>
      </w:r>
    </w:p>
    <w:p w:rsidR="00347377" w:rsidRDefault="00751B6F">
      <w:pPr>
        <w:spacing w:after="0" w:line="240" w:lineRule="auto"/>
        <w:jc w:val="both"/>
      </w:pPr>
      <w:r>
        <w:t>1. Сформульовані та описані очікувані резу</w:t>
      </w:r>
      <w:r>
        <w:t>льтати (за системою SMART) та детально сформульовані цільові групи (із зазначенням співвідношень ЦА та запропонованих форматів та інструментів комунікацій).</w:t>
      </w:r>
    </w:p>
    <w:p w:rsidR="00347377" w:rsidRDefault="00751B6F">
      <w:pPr>
        <w:spacing w:after="0" w:line="240" w:lineRule="auto"/>
        <w:jc w:val="both"/>
      </w:pPr>
      <w:r>
        <w:t>2. Стратегію комунікації з цільовою аудиторією кампанії, яка буде включати, але не обмежуватись так</w:t>
      </w:r>
      <w:r>
        <w:t>ими елементами: загальний меседж кампанії, підходи до залучення зовнішніх партнерів (зокрема, прописаних вище в Обсягу робіт), стратегічний підхід до використання платформ (в тому числі і діджитал, інформаційних та інших можливостей), бачення комунікаційни</w:t>
      </w:r>
      <w:r>
        <w:t>х інтервенцій в цільових громадах та співвідношення їх із загально стратегічним баченням національної кампанії Розірви коло тощо.</w:t>
      </w:r>
    </w:p>
    <w:p w:rsidR="00347377" w:rsidRDefault="00751B6F">
      <w:pPr>
        <w:spacing w:after="0" w:line="240" w:lineRule="auto"/>
        <w:jc w:val="both"/>
      </w:pPr>
      <w:r>
        <w:t>3.  План імплементації кампанії.</w:t>
      </w:r>
    </w:p>
    <w:p w:rsidR="00347377" w:rsidRDefault="00751B6F">
      <w:pPr>
        <w:spacing w:after="0" w:line="240" w:lineRule="auto"/>
        <w:jc w:val="both"/>
      </w:pPr>
      <w:r>
        <w:t>3. Систему для моніторингу та оцінки ефективності.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План реалізації кампанії повинен містити:</w:t>
      </w:r>
    </w:p>
    <w:p w:rsidR="00347377" w:rsidRDefault="00751B6F">
      <w:pPr>
        <w:spacing w:after="0" w:line="240" w:lineRule="auto"/>
        <w:jc w:val="both"/>
      </w:pPr>
      <w:r>
        <w:t xml:space="preserve">Детально описані формати та інструменти, месседжі, сценарії роликів тощо. Усі запропоновані активності в рамках плану реалізації мають бути розкладені за часом на період на 3 роки, а також містити </w:t>
      </w:r>
      <w:r>
        <w:rPr>
          <w:b/>
        </w:rPr>
        <w:t>орієнтовні бюджети</w:t>
      </w:r>
      <w:r>
        <w:t xml:space="preserve"> (вартості реалізації кожної запропонова</w:t>
      </w:r>
      <w:r>
        <w:t>ної активності).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</w:pPr>
      <w:r>
        <w:t>Вибір каналів слід планувати з урахуванням цільової аудиторії конкретних інформаційних та комунікаційних матеріалів у межах кампанії. Можливі канали комунікації з цільовою аудиторією, але не обмежуючись ними:</w:t>
      </w:r>
    </w:p>
    <w:p w:rsidR="00347377" w:rsidRDefault="00751B6F">
      <w:pPr>
        <w:numPr>
          <w:ilvl w:val="0"/>
          <w:numId w:val="1"/>
        </w:numPr>
        <w:spacing w:after="0" w:line="240" w:lineRule="auto"/>
        <w:jc w:val="both"/>
      </w:pPr>
      <w:r>
        <w:t xml:space="preserve">соціальні медіа (з можливими </w:t>
      </w:r>
      <w:r>
        <w:t>включеннями лідерів думок), діджитал-платформи;</w:t>
      </w:r>
    </w:p>
    <w:p w:rsidR="00347377" w:rsidRDefault="00751B6F">
      <w:pPr>
        <w:numPr>
          <w:ilvl w:val="0"/>
          <w:numId w:val="1"/>
        </w:numPr>
        <w:spacing w:after="0" w:line="240" w:lineRule="auto"/>
        <w:jc w:val="both"/>
      </w:pPr>
      <w:r>
        <w:t>традиційні медіа (ТВ, Радіо, ЗМІ) та друковані інформаційні матеріали;</w:t>
      </w:r>
    </w:p>
    <w:p w:rsidR="00347377" w:rsidRDefault="00751B6F">
      <w:pPr>
        <w:numPr>
          <w:ilvl w:val="0"/>
          <w:numId w:val="1"/>
        </w:numPr>
        <w:spacing w:after="0" w:line="240" w:lineRule="auto"/>
        <w:jc w:val="both"/>
      </w:pPr>
      <w:r>
        <w:t>мультимедіа (створення привабливого мультимедійного контенту);</w:t>
      </w:r>
    </w:p>
    <w:p w:rsidR="00347377" w:rsidRDefault="00751B6F">
      <w:pPr>
        <w:numPr>
          <w:ilvl w:val="0"/>
          <w:numId w:val="1"/>
        </w:numPr>
        <w:spacing w:after="0" w:line="240" w:lineRule="auto"/>
        <w:jc w:val="both"/>
      </w:pPr>
      <w:r>
        <w:t>офлайн-інтервенції.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Звіт про проведені дослідження повинен містити:</w:t>
      </w:r>
    </w:p>
    <w:p w:rsidR="00347377" w:rsidRDefault="00751B6F">
      <w:pPr>
        <w:numPr>
          <w:ilvl w:val="0"/>
          <w:numId w:val="5"/>
        </w:numPr>
        <w:spacing w:after="0" w:line="240" w:lineRule="auto"/>
        <w:jc w:val="both"/>
      </w:pPr>
      <w:r>
        <w:t>результати дослідження</w:t>
      </w:r>
    </w:p>
    <w:p w:rsidR="00347377" w:rsidRDefault="00751B6F">
      <w:pPr>
        <w:numPr>
          <w:ilvl w:val="0"/>
          <w:numId w:val="5"/>
        </w:numPr>
        <w:spacing w:after="0" w:line="240" w:lineRule="auto"/>
        <w:jc w:val="both"/>
      </w:pPr>
      <w:r>
        <w:t>рекомендації дослідників та експертне заключення</w:t>
      </w:r>
    </w:p>
    <w:p w:rsidR="00347377" w:rsidRDefault="00751B6F">
      <w:pPr>
        <w:numPr>
          <w:ilvl w:val="0"/>
          <w:numId w:val="5"/>
        </w:numPr>
        <w:spacing w:after="0" w:line="240" w:lineRule="auto"/>
        <w:jc w:val="both"/>
      </w:pPr>
      <w:r>
        <w:t xml:space="preserve">перелік інсайтів та/чи ключових фокусів, які були використані при розробці стратегії та плану реалізації. 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</w:pPr>
      <w:r>
        <w:t xml:space="preserve">Кожен з етапів роботи передбачає отримання зворотного зв’язку від замовника, внесення необхідних правок та необхідне доопрацювання матеріалів. Фінальна стратегія, план реалізації та звіт про дослідження  мають бути надані українською та англійською мовами </w:t>
      </w:r>
      <w:r>
        <w:t xml:space="preserve">як документ MS Word та презентація. Додаткові матеріали можуть бути надані в інших форматах лише українською мовою у відповідному форматі. 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</w:pPr>
      <w:r>
        <w:t xml:space="preserve">Усі творчі ідеї, які підпадають у рамки даного технічного завдання – вітаються. 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Оплата</w:t>
      </w:r>
    </w:p>
    <w:p w:rsidR="00347377" w:rsidRDefault="00751B6F">
      <w:pPr>
        <w:spacing w:after="0" w:line="240" w:lineRule="auto"/>
        <w:jc w:val="both"/>
      </w:pPr>
      <w:r>
        <w:t>Усі результати, передбачен</w:t>
      </w:r>
      <w:r>
        <w:t>і цими завданнями, повинні бути надані замовнику до 30 жовтня 2021 року.</w:t>
      </w:r>
    </w:p>
    <w:tbl>
      <w:tblPr>
        <w:tblStyle w:val="afffe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394"/>
        <w:gridCol w:w="4961"/>
      </w:tblGrid>
      <w:tr w:rsidR="00347377">
        <w:trPr>
          <w:trHeight w:val="27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spacing w:after="0" w:line="240" w:lineRule="auto"/>
              <w:jc w:val="both"/>
            </w:pPr>
            <w:r>
              <w:t>#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spacing w:after="0" w:line="240" w:lineRule="auto"/>
              <w:jc w:val="both"/>
            </w:pPr>
            <w:r>
              <w:t>Очікувані матеріали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spacing w:after="0" w:line="240" w:lineRule="auto"/>
              <w:jc w:val="both"/>
            </w:pPr>
            <w:r>
              <w:t>Умови оплати та часові рамки</w:t>
            </w:r>
          </w:p>
        </w:tc>
      </w:tr>
      <w:tr w:rsidR="00347377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spacing w:after="0" w:line="240" w:lineRule="auto"/>
              <w:jc w:val="both"/>
            </w:pPr>
            <w:r>
              <w:t>Провести всі необхідні базові дослідження (опитування, фокус-групи), розробити загальне бачення концепції кампанії.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spacing w:after="0" w:line="240" w:lineRule="auto"/>
              <w:jc w:val="both"/>
            </w:pPr>
            <w:r>
              <w:t>35% вартості контракту після затвердження замовником, 1,5 місяці після підписання контракту.</w:t>
            </w:r>
          </w:p>
        </w:tc>
      </w:tr>
      <w:tr w:rsidR="00347377">
        <w:trPr>
          <w:trHeight w:val="89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spacing w:after="0" w:line="240" w:lineRule="auto"/>
              <w:jc w:val="both"/>
            </w:pPr>
            <w:r>
              <w:t>Розробити усі компоненти концепції, презентувати та передати всі фінальні матеріали українською та англійською мовами.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spacing w:after="0" w:line="240" w:lineRule="auto"/>
              <w:jc w:val="both"/>
            </w:pPr>
            <w:r>
              <w:t>65% вартості контракту після затвердження</w:t>
            </w:r>
            <w:r>
              <w:t xml:space="preserve"> замовником, 4,5 місяці після підписання контракту.</w:t>
            </w:r>
          </w:p>
        </w:tc>
      </w:tr>
    </w:tbl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Інтелектуальна власність</w:t>
      </w:r>
    </w:p>
    <w:p w:rsidR="00347377" w:rsidRDefault="00751B6F">
      <w:pPr>
        <w:spacing w:after="0" w:line="240" w:lineRule="auto"/>
        <w:ind w:firstLine="720"/>
        <w:jc w:val="both"/>
      </w:pPr>
      <w:r>
        <w:t>Уся інформація, що належати цьому проєкту (документальна, візуальна, цифрова, кібер, проєктна документація і т.д.), і з якою Підрядник може вступити в контакт при виконанні своїх обов'язків відповідно до цього завдання, залишається власністю Фонду ООН у га</w:t>
      </w:r>
      <w:r>
        <w:t>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</w:t>
      </w:r>
      <w:r>
        <w:t>ідно до національних і міжнародних законів про авторські права.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Вимоги щодо кваліфікації</w:t>
      </w:r>
    </w:p>
    <w:p w:rsidR="00347377" w:rsidRDefault="00751B6F">
      <w:pPr>
        <w:spacing w:after="0" w:line="240" w:lineRule="auto"/>
        <w:jc w:val="both"/>
      </w:pPr>
      <w:r>
        <w:t>UNFPA шукає постачальника послуг із досвідом планування та проведення комунікаційних кампаній, бажано соціальних кампаній (потрібні посилання на останні впроваджені к</w:t>
      </w:r>
      <w:r>
        <w:t>ампанії соціального характеру) та глибоких практичних знань про українські медіа та рекламні ринки.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</w:pPr>
      <w:r>
        <w:t>Потенційний постачальник послуг повинен:</w:t>
      </w:r>
    </w:p>
    <w:p w:rsidR="00347377" w:rsidRDefault="00751B6F">
      <w:pPr>
        <w:spacing w:after="0" w:line="240" w:lineRule="auto"/>
        <w:jc w:val="both"/>
      </w:pPr>
      <w:r>
        <w:t>- бути резидентом  або мати юридичне представництво в Україні з відповідною офіційною реєстрацією;</w:t>
      </w:r>
    </w:p>
    <w:p w:rsidR="00347377" w:rsidRDefault="00751B6F">
      <w:pPr>
        <w:spacing w:after="0" w:line="240" w:lineRule="auto"/>
        <w:jc w:val="both"/>
      </w:pPr>
      <w:r>
        <w:t>- працювати в с</w:t>
      </w:r>
      <w:r>
        <w:t>фері комунікацій щонайменше 3 роки;</w:t>
      </w:r>
    </w:p>
    <w:p w:rsidR="00347377" w:rsidRDefault="00751B6F">
      <w:pPr>
        <w:spacing w:after="0" w:line="240" w:lineRule="auto"/>
        <w:jc w:val="both"/>
      </w:pPr>
      <w:r>
        <w:t>- мати досвід у галузі досліджень та розробок публічних інформаційних та комунікаційних кампаній, досвід у розробці та реалізації соціальних кампаній буде перевагою;</w:t>
      </w:r>
    </w:p>
    <w:p w:rsidR="00347377" w:rsidRDefault="00751B6F">
      <w:pPr>
        <w:spacing w:after="0" w:line="240" w:lineRule="auto"/>
        <w:jc w:val="both"/>
      </w:pPr>
      <w:r>
        <w:t>- демонструвати здатність дотримуватися часових рамок,</w:t>
      </w:r>
      <w:r>
        <w:t xml:space="preserve"> працювати під тиском та вимірювати результати;</w:t>
      </w:r>
    </w:p>
    <w:p w:rsidR="00347377" w:rsidRDefault="00751B6F">
      <w:pPr>
        <w:spacing w:after="0" w:line="240" w:lineRule="auto"/>
        <w:jc w:val="both"/>
      </w:pPr>
      <w:r>
        <w:t>- володіти українською, російською та англійською мовами.</w:t>
      </w:r>
    </w:p>
    <w:p w:rsidR="00347377" w:rsidRDefault="00751B6F">
      <w:pPr>
        <w:spacing w:after="0" w:line="240" w:lineRule="auto"/>
        <w:jc w:val="both"/>
      </w:pPr>
      <w:r>
        <w:t>Перевагою буде попередній досвід роботи з агенціями системи ООН.</w:t>
      </w:r>
    </w:p>
    <w:p w:rsidR="00347377" w:rsidRDefault="00347377">
      <w:pPr>
        <w:spacing w:after="0" w:line="240" w:lineRule="auto"/>
        <w:jc w:val="both"/>
      </w:pPr>
    </w:p>
    <w:p w:rsidR="00347377" w:rsidRDefault="00347377">
      <w:pPr>
        <w:spacing w:after="0" w:line="240" w:lineRule="auto"/>
        <w:jc w:val="both"/>
      </w:pP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Питання </w:t>
      </w:r>
    </w:p>
    <w:p w:rsidR="00347377" w:rsidRDefault="00751B6F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Питання або запити на додаткові роз'яснення можна задати під час організаційної зустрічі, яка відбудеться </w:t>
      </w:r>
      <w:r w:rsidR="00CF6FD5">
        <w:t>6 липня</w:t>
      </w:r>
      <w:r>
        <w:t xml:space="preserve"> о 15.00 через конференцію ZOOM (посилання на засідання конференції буде надано пізніше).</w:t>
      </w:r>
    </w:p>
    <w:p w:rsidR="00347377" w:rsidRDefault="00347377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47377" w:rsidRDefault="00751B6F">
      <w:pPr>
        <w:tabs>
          <w:tab w:val="left" w:pos="6630"/>
          <w:tab w:val="left" w:pos="9120"/>
        </w:tabs>
        <w:spacing w:after="0" w:line="240" w:lineRule="auto"/>
        <w:jc w:val="both"/>
      </w:pPr>
      <w:r>
        <w:t>У разі вашої участі в організаційній зус</w:t>
      </w:r>
      <w:r>
        <w:t xml:space="preserve">трічі ми просимо надіслати підтвердження з повним іменем вашого представника контактній особі UNFPA до 15:00 за київським часом, </w:t>
      </w:r>
      <w:r w:rsidR="00CF6FD5">
        <w:t>5 липня</w:t>
      </w:r>
      <w:r>
        <w:t xml:space="preserve">  2021 року.</w:t>
      </w:r>
    </w:p>
    <w:p w:rsidR="00347377" w:rsidRDefault="00347377">
      <w:pPr>
        <w:tabs>
          <w:tab w:val="left" w:pos="6630"/>
          <w:tab w:val="left" w:pos="9120"/>
        </w:tabs>
        <w:spacing w:after="0" w:line="240" w:lineRule="auto"/>
        <w:jc w:val="both"/>
      </w:pPr>
    </w:p>
    <w:tbl>
      <w:tblPr>
        <w:tblStyle w:val="affff"/>
        <w:tblW w:w="1005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521"/>
      </w:tblGrid>
      <w:tr w:rsidR="00347377">
        <w:trPr>
          <w:trHeight w:val="284"/>
        </w:trPr>
        <w:tc>
          <w:tcPr>
            <w:tcW w:w="353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Контактна особа в ЮФНПА:</w:t>
            </w:r>
          </w:p>
        </w:tc>
        <w:tc>
          <w:tcPr>
            <w:tcW w:w="65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347377" w:rsidRDefault="00751B6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Надія Ковалевич</w:t>
            </w:r>
          </w:p>
        </w:tc>
      </w:tr>
      <w:tr w:rsidR="00347377">
        <w:trPr>
          <w:trHeight w:val="55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Тел Nº: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347377" w:rsidRDefault="00751B6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+380953469136</w:t>
            </w:r>
          </w:p>
        </w:tc>
      </w:tr>
      <w:tr w:rsidR="00347377">
        <w:trPr>
          <w:trHeight w:val="147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Default="00751B6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Електронна пошта: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347377" w:rsidRDefault="00751B6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kovalevych@unfpa.org</w:t>
            </w:r>
          </w:p>
        </w:tc>
      </w:tr>
    </w:tbl>
    <w:p w:rsidR="00347377" w:rsidRDefault="00751B6F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:rsidR="00347377" w:rsidRDefault="00751B6F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Якщо ви не можете взяти участь у дискусії, надішліть свої запитання та запити контактній особі UNFPA </w:t>
      </w:r>
    </w:p>
    <w:p w:rsidR="00347377" w:rsidRDefault="00751B6F">
      <w:pPr>
        <w:tabs>
          <w:tab w:val="left" w:pos="6630"/>
          <w:tab w:val="left" w:pos="9120"/>
        </w:tabs>
        <w:spacing w:after="0" w:line="240" w:lineRule="auto"/>
        <w:jc w:val="both"/>
      </w:pPr>
      <w:r>
        <w:t>(див. Контакти у таблиці вище).</w:t>
      </w:r>
    </w:p>
    <w:p w:rsidR="00347377" w:rsidRDefault="00751B6F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:rsidR="00347377" w:rsidRDefault="00751B6F">
      <w:pPr>
        <w:tabs>
          <w:tab w:val="left" w:pos="6630"/>
          <w:tab w:val="left" w:pos="9120"/>
        </w:tabs>
        <w:spacing w:after="0" w:line="240" w:lineRule="auto"/>
        <w:jc w:val="both"/>
      </w:pPr>
      <w:r>
        <w:t>На питання буде надіслано відповідь в письмовій формі. Відповіді будуть розіслані серед усіх зацікавлених сторін якна</w:t>
      </w:r>
      <w:r>
        <w:t>йшвидше.</w:t>
      </w:r>
    </w:p>
    <w:p w:rsidR="00347377" w:rsidRDefault="00347377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47377" w:rsidRDefault="00751B6F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Кінцевий термін подання питань - </w:t>
      </w:r>
      <w:r w:rsidR="00CF6FD5">
        <w:t>понеділок</w:t>
      </w:r>
      <w:bookmarkStart w:id="1" w:name="_GoBack"/>
      <w:bookmarkEnd w:id="1"/>
      <w:r>
        <w:t xml:space="preserve">, </w:t>
      </w:r>
      <w:r w:rsidR="00CF6FD5">
        <w:t>12</w:t>
      </w:r>
      <w:r>
        <w:t xml:space="preserve"> липня, 2020 р. о 17:00 за київським часом.</w:t>
      </w:r>
    </w:p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spacing w:after="0" w:line="240" w:lineRule="auto"/>
        <w:rPr>
          <w:b/>
        </w:rPr>
      </w:pPr>
      <w:r>
        <w:rPr>
          <w:b/>
        </w:rPr>
        <w:t>III. Зміст пропозицій</w:t>
      </w:r>
    </w:p>
    <w:p w:rsidR="00347377" w:rsidRDefault="00347377">
      <w:pPr>
        <w:spacing w:after="0" w:line="240" w:lineRule="auto"/>
        <w:rPr>
          <w:b/>
        </w:rPr>
      </w:pP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Пропозиції мають надсилатися електронною поштою, за можливістю, одним повідомленням, залежно від розміру файлу та мають вміщувати:  </w:t>
      </w:r>
    </w:p>
    <w:p w:rsidR="00347377" w:rsidRDefault="00751B6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a) Технічну пропозицію, яка повинна містити інформацію, яка б надала докази для оцінки пропозицій відповідно до критеріїв, а також інформацію про юридичну особу.</w:t>
      </w:r>
    </w:p>
    <w:p w:rsidR="00347377" w:rsidRDefault="00751B6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Технічна заявка повинна бути подана електронним способом передачі за електронною адресою, зазн</w:t>
      </w:r>
      <w:r>
        <w:rPr>
          <w:color w:val="000000"/>
        </w:rPr>
        <w:t>аченою у розділі IV.</w:t>
      </w:r>
    </w:p>
    <w:p w:rsidR="00347377" w:rsidRDefault="00751B6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б) Цінову пропозицію із запропонованими бюджетами слід подавати строго відповідно до форми цінових пропозицій.</w:t>
      </w:r>
    </w:p>
    <w:p w:rsidR="00347377" w:rsidRDefault="00751B6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в) Мова пропозиції - англійська чи українська.</w:t>
      </w:r>
    </w:p>
    <w:p w:rsidR="00347377" w:rsidRDefault="00751B6F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d) Технічна пропозиція та фінансова пропозиція повинні бути подані </w:t>
      </w:r>
      <w:r>
        <w:rPr>
          <w:b/>
          <w:color w:val="FF0000"/>
        </w:rPr>
        <w:t>окремими ф</w:t>
      </w:r>
      <w:r>
        <w:rPr>
          <w:b/>
          <w:color w:val="FF0000"/>
        </w:rPr>
        <w:t>айлами</w:t>
      </w:r>
      <w:r>
        <w:rPr>
          <w:b/>
          <w:color w:val="000000"/>
        </w:rPr>
        <w:t xml:space="preserve"> та бути підписаними відповідним органом чи особою, що подається на торги, та бути поданими у форматі PDF.</w:t>
      </w:r>
    </w:p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spacing w:after="0" w:line="240" w:lineRule="auto"/>
        <w:rPr>
          <w:b/>
        </w:rPr>
      </w:pPr>
      <w:r>
        <w:rPr>
          <w:b/>
        </w:rPr>
        <w:t>IV. Інструкції для подання</w:t>
      </w:r>
    </w:p>
    <w:p w:rsidR="00347377" w:rsidRDefault="00347377">
      <w:pPr>
        <w:spacing w:after="0" w:line="240" w:lineRule="auto"/>
        <w:rPr>
          <w:b/>
        </w:rPr>
      </w:pP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Пропозиції мають бути підготовлені згідно Розділу III і IV разом із відповідно заповненим і підписаним бланком цін</w:t>
      </w:r>
      <w:r>
        <w:t>ової пропозиції, надіслані до контактної особи тільки на вказану електронну пошту не пізніше ніж:</w:t>
      </w:r>
      <w:r>
        <w:rPr>
          <w:b/>
        </w:rPr>
        <w:t xml:space="preserve"> </w:t>
      </w:r>
      <w:r w:rsidR="00CF6FD5">
        <w:rPr>
          <w:b/>
        </w:rPr>
        <w:t>п’ятниця</w:t>
      </w:r>
      <w:r>
        <w:rPr>
          <w:b/>
        </w:rPr>
        <w:t>, 1</w:t>
      </w:r>
      <w:r w:rsidR="00CF6FD5">
        <w:rPr>
          <w:b/>
        </w:rPr>
        <w:t>6</w:t>
      </w:r>
      <w:r>
        <w:rPr>
          <w:b/>
        </w:rPr>
        <w:t xml:space="preserve"> липня 2021, 17:00 за Київським часом. </w:t>
      </w:r>
      <w:r>
        <w:t>Пропозиції надіслані на будь-яку іншу електронну пошту не будуть прийняті до розгляду.</w:t>
      </w:r>
    </w:p>
    <w:p w:rsidR="00347377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ff0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473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77" w:rsidRDefault="00751B6F">
            <w:pPr>
              <w:spacing w:after="0" w:line="240" w:lineRule="auto"/>
            </w:pPr>
            <w:r>
              <w:rPr>
                <w:i/>
              </w:rPr>
              <w:t>І</w:t>
            </w:r>
            <w:r>
              <w:rPr>
                <w:i/>
              </w:rPr>
              <w:t>рина Богун</w:t>
            </w:r>
          </w:p>
        </w:tc>
      </w:tr>
      <w:tr w:rsidR="003473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77" w:rsidRDefault="00751B6F">
            <w:pPr>
              <w:spacing w:after="0" w:line="240" w:lineRule="auto"/>
            </w:pPr>
            <w:r>
              <w:rPr>
                <w:b/>
              </w:rPr>
              <w:t>ua-procurement@unfpa.org</w:t>
            </w:r>
          </w:p>
        </w:tc>
      </w:tr>
    </w:tbl>
    <w:p w:rsidR="00347377" w:rsidRDefault="0034737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Зверніть увагу на наступні інструкції щодо електронного подання:</w:t>
      </w: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- Тема повідомлення має включати таке посилання: </w:t>
      </w:r>
      <w:r>
        <w:rPr>
          <w:b/>
        </w:rPr>
        <w:t>RFQ Nº UNFPA/UKR/RFQ/21/12.</w:t>
      </w:r>
      <w: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lastRenderedPageBreak/>
        <w:t xml:space="preserve">- Загальний обсяг повідомлення, що надсилається не має перевищувати </w:t>
      </w:r>
      <w:r>
        <w:rPr>
          <w:b/>
        </w:rPr>
        <w:t xml:space="preserve">20 MB (у тому числі, сам лист, надані додатки та </w:t>
      </w:r>
      <w:r>
        <w:rPr>
          <w:b/>
        </w:rPr>
        <w:t xml:space="preserve">заголовки). </w:t>
      </w:r>
      <w: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347377" w:rsidRDefault="00347377">
      <w:pPr>
        <w:tabs>
          <w:tab w:val="left" w:pos="6630"/>
          <w:tab w:val="left" w:pos="9120"/>
        </w:tabs>
        <w:spacing w:after="0" w:line="240" w:lineRule="auto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V. Оцінка пропозицій</w:t>
      </w:r>
    </w:p>
    <w:p w:rsidR="00347377" w:rsidRDefault="00751B6F">
      <w:pPr>
        <w:spacing w:after="0" w:line="240" w:lineRule="auto"/>
        <w:jc w:val="both"/>
      </w:pPr>
      <w: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>
        <w:rPr>
          <w:b/>
        </w:rPr>
        <w:t xml:space="preserve">до </w:t>
      </w:r>
      <w:r>
        <w:t>порівняння цінових пропозицій.</w:t>
      </w: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Teхнічна оцінка (максимально 100 балів)</w:t>
      </w:r>
    </w:p>
    <w:p w:rsidR="00347377" w:rsidRDefault="00751B6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>
        <w:t xml:space="preserve">Технічні пропозиції будуть оцінені згідно </w:t>
      </w:r>
      <w:r>
        <w:t>з умовами, вказаними в розділі про вимоги до надання послуг/ Розділ IІ Технічного завдання, та відповідно до критерій оцінки, що подані нижче.</w:t>
      </w:r>
    </w:p>
    <w:tbl>
      <w:tblPr>
        <w:tblStyle w:val="affff1"/>
        <w:tblW w:w="9623" w:type="dxa"/>
        <w:jc w:val="center"/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3473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:rsidR="00347377" w:rsidRDefault="00751B6F">
            <w:pPr>
              <w:spacing w:after="0" w:line="240" w:lineRule="auto"/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:rsidR="00347377" w:rsidRDefault="00751B6F">
            <w:pPr>
              <w:spacing w:after="0" w:line="240" w:lineRule="auto"/>
              <w:jc w:val="center"/>
            </w:pPr>
            <w:r>
              <w:rPr>
                <w:color w:val="FFFFFF"/>
              </w:rPr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:rsidR="00347377" w:rsidRDefault="00751B6F">
            <w:pPr>
              <w:spacing w:after="0" w:line="240" w:lineRule="auto"/>
              <w:jc w:val="center"/>
            </w:pPr>
            <w:r>
              <w:rPr>
                <w:color w:val="FFFFFF"/>
              </w:rPr>
              <w:t>Загальна кількість балів</w:t>
            </w:r>
          </w:p>
        </w:tc>
      </w:tr>
      <w:tr w:rsidR="003473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Default="00751B6F">
            <w:pPr>
              <w:spacing w:after="0" w:line="240" w:lineRule="auto"/>
              <w:jc w:val="both"/>
            </w:pPr>
            <w:r>
              <w:t>Бачення, ідея, креативні підходи відповідно до ТЗ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40%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  <w:jc w:val="center"/>
            </w:pPr>
          </w:p>
        </w:tc>
      </w:tr>
      <w:tr w:rsidR="003473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Default="00751B6F">
            <w:pPr>
              <w:spacing w:after="0" w:line="240" w:lineRule="auto"/>
              <w:jc w:val="both"/>
              <w:rPr>
                <w:highlight w:val="white"/>
              </w:rPr>
            </w:pPr>
            <w:r>
              <w:t>Рівень, глибина пропрацювання теми та пропозиції, яка відповідає меті вказаній у ТЗ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25%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  <w:jc w:val="center"/>
            </w:pPr>
          </w:p>
        </w:tc>
      </w:tr>
      <w:tr w:rsidR="003473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Default="00751B6F">
            <w:pPr>
              <w:spacing w:after="0" w:line="240" w:lineRule="auto"/>
              <w:jc w:val="both"/>
            </w:pPr>
            <w:r>
              <w:t>Досвід агенції та ключових членів команди, яка буде працювати над соціальною кампанією. Презентація успішних кейсів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25%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  <w:jc w:val="center"/>
            </w:pPr>
          </w:p>
        </w:tc>
      </w:tr>
      <w:tr w:rsidR="003473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Default="00751B6F">
            <w:pPr>
              <w:spacing w:after="0" w:line="240" w:lineRule="auto"/>
            </w:pPr>
            <w:r>
              <w:t xml:space="preserve">Якість підготовки матеріалів поданої на конкурс пропозиції (клікабельність і доступ до посилань, відсутність орфографічних помилок і тд)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  <w:jc w:val="center"/>
            </w:pPr>
          </w:p>
        </w:tc>
      </w:tr>
      <w:tr w:rsidR="003473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Default="00751B6F">
            <w:pPr>
              <w:spacing w:after="0" w:line="240" w:lineRule="auto"/>
            </w:pPr>
            <w:r>
              <w:t>Підтверджений досвід роботи із міжнародними організаціями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  <w:jc w:val="center"/>
            </w:pPr>
          </w:p>
        </w:tc>
      </w:tr>
      <w:tr w:rsidR="003473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spacing w:after="0" w:line="240" w:lineRule="auto"/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spacing w:after="0" w:line="240" w:lineRule="auto"/>
              <w:jc w:val="center"/>
            </w:pPr>
          </w:p>
        </w:tc>
      </w:tr>
    </w:tbl>
    <w:p w:rsidR="00347377" w:rsidRDefault="0034737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347377" w:rsidRDefault="00751B6F">
      <w:pPr>
        <w:spacing w:after="0" w:line="240" w:lineRule="auto"/>
      </w:pPr>
      <w:r>
        <w:t>Наступна шкала оцінювання буде використана для забезпечення об'єктивної оцінки:</w:t>
      </w:r>
    </w:p>
    <w:tbl>
      <w:tblPr>
        <w:tblStyle w:val="affff2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347377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Бали зі 100</w:t>
            </w:r>
          </w:p>
        </w:tc>
      </w:tr>
      <w:tr w:rsidR="00347377">
        <w:trPr>
          <w:trHeight w:val="25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90 – 100</w:t>
            </w:r>
          </w:p>
        </w:tc>
      </w:tr>
      <w:tr w:rsidR="00347377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 xml:space="preserve">80 – 89 </w:t>
            </w:r>
          </w:p>
        </w:tc>
      </w:tr>
      <w:tr w:rsidR="0034737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70 – 79</w:t>
            </w:r>
          </w:p>
        </w:tc>
      </w:tr>
      <w:tr w:rsidR="0034737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до 70</w:t>
            </w:r>
          </w:p>
        </w:tc>
      </w:tr>
    </w:tbl>
    <w:p w:rsidR="00347377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:rsidR="00347377" w:rsidRDefault="0034737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:rsidR="00347377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:rsidR="00347377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</w:t>
      </w:r>
      <w:r>
        <w:t>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Style w:val="affff3"/>
        <w:tblW w:w="7094" w:type="dxa"/>
        <w:jc w:val="center"/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347377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tabs>
                <w:tab w:val="left" w:pos="-1080"/>
              </w:tabs>
              <w:spacing w:after="0" w:line="240" w:lineRule="auto"/>
              <w:jc w:val="both"/>
            </w:pPr>
            <w: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tabs>
                <w:tab w:val="left" w:pos="-1080"/>
              </w:tabs>
              <w:spacing w:after="0" w:line="240" w:lineRule="auto"/>
              <w:jc w:val="both"/>
            </w:pPr>
            <w:r>
              <w:t>X 100 (Максимальна кількість балів)</w:t>
            </w:r>
          </w:p>
        </w:tc>
      </w:tr>
      <w:tr w:rsidR="00347377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347377" w:rsidRDefault="00751B6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  <w:r>
        <w:rPr>
          <w:b/>
        </w:rPr>
        <w:lastRenderedPageBreak/>
        <w:t>Загальний бал</w:t>
      </w:r>
    </w:p>
    <w:p w:rsidR="00347377" w:rsidRDefault="00751B6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  <w:rPr>
          <w:b/>
        </w:rPr>
      </w:pPr>
      <w:bookmarkStart w:id="2" w:name="_heading=h.2jxsxqh" w:colFirst="0" w:colLast="0"/>
      <w:bookmarkEnd w:id="2"/>
      <w:r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Style w:val="affff4"/>
        <w:tblW w:w="6523" w:type="dxa"/>
        <w:jc w:val="center"/>
        <w:tblLayout w:type="fixed"/>
        <w:tblLook w:val="0400" w:firstRow="0" w:lastRow="0" w:firstColumn="0" w:lastColumn="0" w:noHBand="0" w:noVBand="1"/>
      </w:tblPr>
      <w:tblGrid>
        <w:gridCol w:w="6523"/>
      </w:tblGrid>
      <w:tr w:rsidR="003473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:rsidR="00347377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31 грудня 2021 року між UNFPA та постачальником буде укладено з тим претендентом, чия пропозиція </w:t>
      </w:r>
      <w:r>
        <w:t>отримає найвищий загальний бал</w:t>
      </w:r>
      <w:r>
        <w:rPr>
          <w:color w:val="000000"/>
        </w:rPr>
        <w:t>.</w:t>
      </w:r>
    </w:p>
    <w:p w:rsidR="00347377" w:rsidRDefault="0034737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:rsidR="00347377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Фонд ООН у галузі народонаселення</w:t>
      </w:r>
      <w:r>
        <w:rPr>
          <w:color w:val="000000"/>
        </w:rPr>
        <w:t xml:space="preserve"> залишає за собою</w:t>
      </w:r>
      <w:r>
        <w:rPr>
          <w:color w:val="000000"/>
        </w:rPr>
        <w:t xml:space="preserve">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347377" w:rsidRDefault="0034737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  <w:rPr>
          <w:color w:val="000000"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VIII. Умови оплати</w:t>
      </w:r>
    </w:p>
    <w:p w:rsidR="00347377" w:rsidRDefault="00751B6F">
      <w:pPr>
        <w:tabs>
          <w:tab w:val="left" w:pos="-180"/>
          <w:tab w:val="left" w:pos="-90"/>
        </w:tabs>
        <w:spacing w:after="0" w:line="240" w:lineRule="auto"/>
        <w:jc w:val="both"/>
      </w:pPr>
      <w:r>
        <w:t xml:space="preserve">Оплата здійснюється відповідно до отримання Замовником перелічених вище продуктів </w:t>
      </w:r>
      <w:r>
        <w:t>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</w:t>
      </w:r>
      <w:r>
        <w:t xml:space="preserve"> в той день, в який Фонд ООН у галузі народонаселення повідомляє про здійснення цих платежів (веб: </w:t>
      </w:r>
      <w:hyperlink r:id="rId18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</w:t>
      </w:r>
      <w:r>
        <w:t>ур та іншої документації, що вимагається договором.</w:t>
      </w:r>
    </w:p>
    <w:p w:rsidR="00347377" w:rsidRDefault="00347377">
      <w:pPr>
        <w:tabs>
          <w:tab w:val="left" w:pos="-180"/>
          <w:tab w:val="left" w:pos="-90"/>
        </w:tabs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 xml:space="preserve">IX. </w:t>
      </w:r>
      <w:hyperlink r:id="rId19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47377" w:rsidRDefault="00751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</w:t>
      </w:r>
      <w:r>
        <w:rPr>
          <w:color w:val="000000"/>
        </w:rPr>
        <w:t xml:space="preserve"> галузі народонаселення щодо шахрайства та корупції можна ознайомитися тут: </w:t>
      </w:r>
      <w:hyperlink r:id="rId20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</w:t>
      </w:r>
      <w:r>
        <w:rPr>
          <w:color w:val="000000"/>
        </w:rPr>
        <w:t>ений з даними правилами.</w:t>
      </w:r>
    </w:p>
    <w:p w:rsidR="00347377" w:rsidRDefault="00751B6F">
      <w:pPr>
        <w:spacing w:after="0" w:line="240" w:lineRule="auto"/>
        <w:jc w:val="both"/>
      </w:pPr>
      <w: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</w:t>
      </w:r>
      <w:r>
        <w:t>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</w:t>
      </w:r>
      <w:r>
        <w:t>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</w:t>
      </w:r>
      <w:r>
        <w:t xml:space="preserve">реєстрованих Фондом постачальників. </w:t>
      </w:r>
    </w:p>
    <w:p w:rsidR="00347377" w:rsidRDefault="00751B6F">
      <w:pPr>
        <w:spacing w:after="0" w:line="240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21">
        <w:r>
          <w:rPr>
            <w:color w:val="0563C1"/>
            <w:u w:val="single"/>
          </w:rPr>
          <w:t>UN</w:t>
        </w:r>
        <w:r>
          <w:rPr>
            <w:color w:val="0563C1"/>
            <w:u w:val="single"/>
          </w:rPr>
          <w:t>FPAInvestigationHotline</w:t>
        </w:r>
      </w:hyperlink>
      <w:r>
        <w:rPr>
          <w:color w:val="0563C1"/>
          <w:u w:val="single"/>
        </w:rPr>
        <w:t>.</w:t>
      </w:r>
    </w:p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:rsidR="00347377" w:rsidRDefault="00751B6F">
      <w:pPr>
        <w:spacing w:after="0" w:line="240" w:lineRule="auto"/>
        <w:jc w:val="both"/>
      </w:pPr>
      <w:r>
        <w:t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</w:t>
      </w:r>
      <w:r>
        <w:t xml:space="preserve">и вдячності співробітникам Фонду ООН у галузі народонаселення. Детальніше з цими правилами можна ознайомитися тут: </w:t>
      </w:r>
      <w:hyperlink r:id="rId22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47377" w:rsidRDefault="00347377">
      <w:pPr>
        <w:spacing w:after="0" w:line="240" w:lineRule="auto"/>
        <w:jc w:val="both"/>
        <w:rPr>
          <w:b/>
        </w:rPr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</w:t>
      </w:r>
      <w:r>
        <w:rPr>
          <w:b/>
        </w:rPr>
        <w:t>цій</w:t>
      </w:r>
    </w:p>
    <w:p w:rsidR="00347377" w:rsidRDefault="00751B6F">
      <w:pPr>
        <w:tabs>
          <w:tab w:val="left" w:pos="851"/>
        </w:tabs>
        <w:spacing w:after="0" w:line="240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23">
        <w:r>
          <w:t>kompaniiets@unfpa.org</w:t>
        </w:r>
      </w:hyperlink>
      <w:r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>
        <w:rPr>
          <w:color w:val="003366"/>
          <w:u w:val="single"/>
        </w:rPr>
        <w:t xml:space="preserve"> </w:t>
      </w:r>
      <w:hyperlink r:id="rId24">
        <w:r>
          <w:rPr>
            <w:color w:val="003366"/>
            <w:u w:val="single"/>
          </w:rPr>
          <w:t>procure</w:t>
        </w:r>
        <w:r>
          <w:rPr>
            <w:color w:val="003366"/>
            <w:u w:val="single"/>
          </w:rPr>
          <w:t>ment@unfpa.org</w:t>
        </w:r>
      </w:hyperlink>
      <w:r>
        <w:t>.</w:t>
      </w:r>
    </w:p>
    <w:p w:rsidR="00347377" w:rsidRDefault="00347377">
      <w:pPr>
        <w:tabs>
          <w:tab w:val="left" w:pos="851"/>
        </w:tabs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rPr>
          <w:b/>
        </w:rPr>
        <w:t>XII. Зауваження</w:t>
      </w:r>
    </w:p>
    <w:p w:rsidR="00347377" w:rsidRDefault="00751B6F">
      <w:pPr>
        <w:spacing w:after="0" w:line="240" w:lineRule="auto"/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47377" w:rsidRDefault="00751B6F">
      <w:pPr>
        <w:spacing w:after="0" w:line="240" w:lineRule="auto"/>
        <w:rPr>
          <w:b/>
          <w:smallCaps/>
        </w:rPr>
      </w:pPr>
      <w:r>
        <w:br w:type="page"/>
      </w:r>
    </w:p>
    <w:p w:rsidR="00347377" w:rsidRDefault="00751B6F">
      <w:pPr>
        <w:spacing w:after="0" w:line="240" w:lineRule="auto"/>
      </w:pPr>
      <w:r>
        <w:rPr>
          <w:b/>
          <w:smallCaps/>
        </w:rPr>
        <w:lastRenderedPageBreak/>
        <w:t>БЛАНК ЦІНОВОЇ ПРОПОЗИЦІЇ</w:t>
      </w:r>
    </w:p>
    <w:p w:rsidR="00347377" w:rsidRDefault="00347377">
      <w:pPr>
        <w:spacing w:after="0" w:line="240" w:lineRule="auto"/>
        <w:jc w:val="center"/>
        <w:rPr>
          <w:b/>
          <w:smallCaps/>
        </w:rPr>
      </w:pPr>
    </w:p>
    <w:tbl>
      <w:tblPr>
        <w:tblStyle w:val="affff5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431"/>
        <w:gridCol w:w="813"/>
        <w:gridCol w:w="1199"/>
        <w:gridCol w:w="1307"/>
        <w:gridCol w:w="366"/>
      </w:tblGrid>
      <w:tr w:rsidR="00347377">
        <w:tc>
          <w:tcPr>
            <w:tcW w:w="6091" w:type="dxa"/>
            <w:gridSpan w:val="4"/>
          </w:tcPr>
          <w:p w:rsidR="00347377" w:rsidRDefault="00751B6F">
            <w:pPr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gridSpan w:val="4"/>
            <w:vAlign w:val="center"/>
          </w:tcPr>
          <w:p w:rsidR="00347377" w:rsidRDefault="00347377">
            <w:pPr>
              <w:jc w:val="center"/>
            </w:pPr>
          </w:p>
        </w:tc>
      </w:tr>
      <w:tr w:rsidR="00347377">
        <w:tc>
          <w:tcPr>
            <w:tcW w:w="6091" w:type="dxa"/>
            <w:gridSpan w:val="4"/>
          </w:tcPr>
          <w:p w:rsidR="00347377" w:rsidRDefault="00751B6F">
            <w:pPr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gridSpan w:val="4"/>
            <w:vAlign w:val="center"/>
          </w:tcPr>
          <w:p w:rsidR="00347377" w:rsidRDefault="00751B6F">
            <w:pPr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47377">
        <w:tc>
          <w:tcPr>
            <w:tcW w:w="6091" w:type="dxa"/>
            <w:gridSpan w:val="4"/>
          </w:tcPr>
          <w:p w:rsidR="00347377" w:rsidRDefault="00751B6F">
            <w:pPr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gridSpan w:val="4"/>
            <w:vAlign w:val="center"/>
          </w:tcPr>
          <w:p w:rsidR="00347377" w:rsidRDefault="00751B6F">
            <w:pPr>
              <w:jc w:val="center"/>
              <w:rPr>
                <w:b/>
              </w:rPr>
            </w:pPr>
            <w:bookmarkStart w:id="3" w:name="_heading=h.44sinio" w:colFirst="0" w:colLast="0"/>
            <w:bookmarkEnd w:id="3"/>
            <w:r>
              <w:rPr>
                <w:b/>
              </w:rPr>
              <w:t>RFQNº UNFPA/UKR/RFQ/21/12</w:t>
            </w:r>
          </w:p>
        </w:tc>
      </w:tr>
      <w:tr w:rsidR="00347377">
        <w:tc>
          <w:tcPr>
            <w:tcW w:w="6091" w:type="dxa"/>
            <w:gridSpan w:val="4"/>
          </w:tcPr>
          <w:p w:rsidR="00347377" w:rsidRDefault="00751B6F">
            <w:pPr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gridSpan w:val="4"/>
            <w:vAlign w:val="center"/>
          </w:tcPr>
          <w:p w:rsidR="00347377" w:rsidRDefault="00347377">
            <w:pPr>
              <w:jc w:val="center"/>
            </w:pPr>
          </w:p>
        </w:tc>
      </w:tr>
      <w:tr w:rsidR="00347377">
        <w:tc>
          <w:tcPr>
            <w:tcW w:w="6091" w:type="dxa"/>
            <w:gridSpan w:val="4"/>
            <w:tcBorders>
              <w:bottom w:val="single" w:sz="4" w:space="0" w:color="F2F2F2"/>
            </w:tcBorders>
          </w:tcPr>
          <w:p w:rsidR="00347377" w:rsidRDefault="00751B6F">
            <w:pPr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47377" w:rsidRDefault="00751B6F">
            <w:pPr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:rsidR="00347377" w:rsidRDefault="00347377">
            <w:pPr>
              <w:jc w:val="both"/>
              <w:rPr>
                <w:b/>
                <w:i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F2F2F2"/>
            </w:tcBorders>
            <w:vAlign w:val="center"/>
          </w:tcPr>
          <w:p w:rsidR="00347377" w:rsidRDefault="00347377">
            <w:pPr>
              <w:jc w:val="center"/>
            </w:pPr>
          </w:p>
        </w:tc>
      </w:tr>
      <w:tr w:rsidR="003473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center"/>
            </w:pPr>
            <w:r>
              <w:t>Загалом</w:t>
            </w:r>
          </w:p>
        </w:tc>
      </w:tr>
      <w:tr w:rsidR="003473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</w:pPr>
            <w:r>
              <w:t xml:space="preserve">Гонорари працівникам </w:t>
            </w:r>
          </w:p>
        </w:tc>
      </w:tr>
      <w:tr w:rsidR="003473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</w:tr>
      <w:tr w:rsidR="003473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</w:tr>
      <w:tr w:rsidR="003473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</w:tr>
      <w:tr w:rsidR="003473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right"/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right"/>
            </w:pPr>
          </w:p>
        </w:tc>
      </w:tr>
      <w:tr w:rsidR="00347377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jc w:val="both"/>
            </w:pPr>
            <w:r>
              <w:t>Інші витрати</w:t>
            </w:r>
          </w:p>
        </w:tc>
      </w:tr>
      <w:tr w:rsidR="003473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</w:tr>
      <w:tr w:rsidR="00347377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both"/>
            </w:pPr>
          </w:p>
        </w:tc>
      </w:tr>
      <w:tr w:rsidR="003473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right"/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right"/>
            </w:pPr>
          </w:p>
        </w:tc>
      </w:tr>
      <w:tr w:rsidR="003473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:rsidR="00347377" w:rsidRDefault="00751B6F">
            <w:pPr>
              <w:jc w:val="right"/>
            </w:pPr>
            <w:r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right"/>
            </w:pPr>
          </w:p>
        </w:tc>
      </w:tr>
      <w:tr w:rsidR="00347377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751B6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:rsidR="00347377" w:rsidRDefault="00751B6F">
            <w:pPr>
              <w:jc w:val="right"/>
              <w:rPr>
                <w:b/>
                <w:i/>
              </w:rPr>
            </w:pPr>
            <w:r>
              <w:rPr>
                <w:i/>
              </w:rPr>
              <w:t xml:space="preserve"> (гонорари працівникам+ інші витрати), грн. 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Default="00347377">
            <w:pPr>
              <w:jc w:val="right"/>
            </w:pPr>
          </w:p>
        </w:tc>
      </w:tr>
    </w:tbl>
    <w:p w:rsidR="00347377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6038850" cy="704850"/>
                <wp:effectExtent l="0" t="0" r="0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7377" w:rsidRDefault="00751B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6038850" cy="704850"/>
                <wp:effectExtent b="0" l="0" r="0" t="0"/>
                <wp:wrapNone/>
                <wp:docPr id="6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47377" w:rsidRDefault="0034737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:rsidR="00347377" w:rsidRDefault="0034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347377" w:rsidRDefault="00347377">
      <w:pPr>
        <w:spacing w:after="0" w:line="240" w:lineRule="auto"/>
        <w:jc w:val="both"/>
      </w:pPr>
    </w:p>
    <w:p w:rsidR="00347377" w:rsidRDefault="00751B6F">
      <w:pPr>
        <w:spacing w:after="0" w:line="240" w:lineRule="auto"/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 xml:space="preserve">Запит на Подання Пропозицій RFQ Nº UNFPA/UKR/RFQ/21/12 </w:t>
      </w:r>
      <w:r>
        <w:t>[</w:t>
      </w:r>
      <w:r>
        <w:rPr>
          <w:b/>
        </w:rPr>
        <w:t>Розробка стратегії та плану реалізації для інформаційної кампанії «Розірви коло»]</w:t>
      </w:r>
      <w:r>
        <w:t>,у тому числі всі додатки, зміни в документі (якщо такі мають місце) та відповіді Фонду ООН у галузі народонаселення на</w:t>
      </w:r>
      <w:r>
        <w:t xml:space="preserve">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tbl>
      <w:tblPr>
        <w:tblStyle w:val="affff6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47377">
        <w:tc>
          <w:tcPr>
            <w:tcW w:w="4623" w:type="dxa"/>
            <w:shd w:val="clear" w:color="auto" w:fill="auto"/>
            <w:vAlign w:val="center"/>
          </w:tcPr>
          <w:p w:rsidR="00347377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47377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47377" w:rsidRDefault="00751B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 xml:space="preserve">Click here to enter a </w:t>
            </w:r>
            <w:r>
              <w:rPr>
                <w:color w:val="808080"/>
              </w:rPr>
              <w:t>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47377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47377">
        <w:tc>
          <w:tcPr>
            <w:tcW w:w="4623" w:type="dxa"/>
            <w:shd w:val="clear" w:color="auto" w:fill="auto"/>
            <w:vAlign w:val="center"/>
          </w:tcPr>
          <w:p w:rsidR="00347377" w:rsidRDefault="00751B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47377" w:rsidRDefault="00751B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47377" w:rsidRDefault="00347377">
      <w:pPr>
        <w:spacing w:after="0" w:line="240" w:lineRule="auto"/>
        <w:jc w:val="center"/>
        <w:rPr>
          <w:b/>
        </w:rPr>
      </w:pPr>
    </w:p>
    <w:p w:rsidR="00347377" w:rsidRDefault="00347377">
      <w:pPr>
        <w:spacing w:after="0" w:line="240" w:lineRule="auto"/>
        <w:jc w:val="center"/>
        <w:rPr>
          <w:b/>
        </w:rPr>
      </w:pPr>
    </w:p>
    <w:p w:rsidR="00347377" w:rsidRDefault="00751B6F">
      <w:pPr>
        <w:rPr>
          <w:b/>
        </w:rPr>
      </w:pPr>
      <w:r>
        <w:br w:type="page"/>
      </w:r>
    </w:p>
    <w:p w:rsidR="00347377" w:rsidRDefault="00751B6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Додаток I:</w:t>
      </w:r>
    </w:p>
    <w:p w:rsidR="00347377" w:rsidRDefault="00751B6F">
      <w:pPr>
        <w:spacing w:after="0" w:line="240" w:lineRule="auto"/>
        <w:jc w:val="center"/>
        <w:rPr>
          <w:b/>
        </w:rPr>
      </w:pPr>
      <w:r>
        <w:rPr>
          <w:b/>
        </w:rPr>
        <w:t>Загальні умови договору:</w:t>
      </w:r>
    </w:p>
    <w:p w:rsidR="00347377" w:rsidRDefault="00751B6F">
      <w:pPr>
        <w:spacing w:after="0" w:line="240" w:lineRule="auto"/>
        <w:jc w:val="center"/>
        <w:rPr>
          <w:b/>
        </w:rPr>
      </w:pPr>
      <w:r>
        <w:rPr>
          <w:b/>
        </w:rPr>
        <w:t>De Minimis Contracts</w:t>
      </w:r>
    </w:p>
    <w:p w:rsidR="00347377" w:rsidRDefault="00347377">
      <w:pPr>
        <w:spacing w:after="0" w:line="240" w:lineRule="auto"/>
      </w:pPr>
    </w:p>
    <w:p w:rsidR="00347377" w:rsidRDefault="00347377">
      <w:pPr>
        <w:tabs>
          <w:tab w:val="left" w:pos="7020"/>
        </w:tabs>
        <w:spacing w:after="0" w:line="240" w:lineRule="auto"/>
      </w:pPr>
    </w:p>
    <w:p w:rsidR="00347377" w:rsidRDefault="00751B6F">
      <w:pPr>
        <w:tabs>
          <w:tab w:val="left" w:pos="7020"/>
        </w:tabs>
        <w:spacing w:after="0" w:line="240" w:lineRule="auto"/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26">
        <w:r>
          <w:rPr>
            <w:color w:val="0563C1"/>
            <w:u w:val="single"/>
          </w:rPr>
          <w:t>Englis</w:t>
        </w:r>
        <w:r>
          <w:rPr>
            <w:color w:val="0563C1"/>
            <w:u w:val="single"/>
          </w:rPr>
          <w:t>h,</w:t>
        </w:r>
      </w:hyperlink>
      <w:r>
        <w:rPr>
          <w:color w:val="0563C1"/>
          <w:u w:val="single"/>
        </w:rPr>
        <w:t xml:space="preserve"> </w:t>
      </w:r>
      <w:hyperlink r:id="rId27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28">
        <w:r>
          <w:rPr>
            <w:color w:val="0563C1"/>
            <w:u w:val="single"/>
          </w:rPr>
          <w:t>French</w:t>
        </w:r>
      </w:hyperlink>
    </w:p>
    <w:p w:rsidR="00347377" w:rsidRDefault="00347377">
      <w:pPr>
        <w:spacing w:after="0" w:line="240" w:lineRule="auto"/>
      </w:pPr>
    </w:p>
    <w:p w:rsidR="00347377" w:rsidRDefault="00347377">
      <w:pPr>
        <w:spacing w:after="0" w:line="240" w:lineRule="auto"/>
      </w:pPr>
    </w:p>
    <w:sectPr w:rsidR="00347377">
      <w:headerReference w:type="default" r:id="rId29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6F" w:rsidRDefault="00751B6F">
      <w:pPr>
        <w:spacing w:after="0" w:line="240" w:lineRule="auto"/>
      </w:pPr>
      <w:r>
        <w:separator/>
      </w:r>
    </w:p>
  </w:endnote>
  <w:endnote w:type="continuationSeparator" w:id="0">
    <w:p w:rsidR="00751B6F" w:rsidRDefault="0075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6F" w:rsidRDefault="00751B6F">
      <w:pPr>
        <w:spacing w:after="0" w:line="240" w:lineRule="auto"/>
      </w:pPr>
      <w:r>
        <w:separator/>
      </w:r>
    </w:p>
  </w:footnote>
  <w:footnote w:type="continuationSeparator" w:id="0">
    <w:p w:rsidR="00751B6F" w:rsidRDefault="0075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77" w:rsidRDefault="00751B6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67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7377" w:rsidRDefault="00751B6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347377" w:rsidRDefault="00751B6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347377" w:rsidRDefault="00751B6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BBF"/>
    <w:multiLevelType w:val="multilevel"/>
    <w:tmpl w:val="B1FC9B9E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ED6770"/>
    <w:multiLevelType w:val="multilevel"/>
    <w:tmpl w:val="1FCC3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352F34"/>
    <w:multiLevelType w:val="multilevel"/>
    <w:tmpl w:val="4886C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CB506E"/>
    <w:multiLevelType w:val="multilevel"/>
    <w:tmpl w:val="A7E2FA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27E9F"/>
    <w:multiLevelType w:val="multilevel"/>
    <w:tmpl w:val="FDEE590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F922CC2"/>
    <w:multiLevelType w:val="multilevel"/>
    <w:tmpl w:val="B9B85966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A858AB"/>
    <w:multiLevelType w:val="multilevel"/>
    <w:tmpl w:val="CFDA5BFE"/>
    <w:lvl w:ilvl="0">
      <w:start w:val="1"/>
      <w:numFmt w:val="bullet"/>
      <w:lvlText w:val="·"/>
      <w:lvlJc w:val="left"/>
      <w:pPr>
        <w:ind w:left="1212" w:hanging="503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6C0692"/>
    <w:multiLevelType w:val="multilevel"/>
    <w:tmpl w:val="99BA1CC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880233F"/>
    <w:multiLevelType w:val="multilevel"/>
    <w:tmpl w:val="DEA89544"/>
    <w:lvl w:ilvl="0">
      <w:start w:val="2"/>
      <w:numFmt w:val="bullet"/>
      <w:lvlText w:val="-"/>
      <w:lvlJc w:val="left"/>
      <w:pPr>
        <w:ind w:left="117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7"/>
    <w:rsid w:val="00347377"/>
    <w:rsid w:val="00751B6F"/>
    <w:rsid w:val="00C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C1A7-177B-4608-BB9A-F678582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07"/>
  </w:style>
  <w:style w:type="paragraph" w:styleId="1">
    <w:name w:val="heading 1"/>
    <w:basedOn w:val="a"/>
    <w:next w:val="a"/>
    <w:link w:val="10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0B6FE0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20">
    <w:name w:val="Заголовок 2 Знак"/>
    <w:basedOn w:val="a0"/>
    <w:link w:val="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a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49502B"/>
  </w:style>
  <w:style w:type="paragraph" w:styleId="a8">
    <w:name w:val="caption"/>
    <w:basedOn w:val="a"/>
    <w:next w:val="a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750B0"/>
  </w:style>
  <w:style w:type="paragraph" w:styleId="ab">
    <w:name w:val="footer"/>
    <w:basedOn w:val="a"/>
    <w:link w:val="ac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B0"/>
  </w:style>
  <w:style w:type="paragraph" w:styleId="ad">
    <w:name w:val="Balloon Text"/>
    <w:basedOn w:val="a"/>
    <w:link w:val="ae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50B0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uiPriority w:val="99"/>
    <w:semiHidden/>
    <w:rsid w:val="006C481D"/>
    <w:rPr>
      <w:color w:val="808080"/>
    </w:rPr>
  </w:style>
  <w:style w:type="character" w:customStyle="1" w:styleId="a4">
    <w:name w:val="Название Знак"/>
    <w:basedOn w:val="a0"/>
    <w:link w:val="a3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annotation text"/>
    <w:basedOn w:val="a"/>
    <w:link w:val="af1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34526D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F518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F5185"/>
    <w:rPr>
      <w:vertAlign w:val="superscript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rmal (Web)"/>
    <w:basedOn w:val="a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2">
    <w:name w:val="Table Grid"/>
    <w:basedOn w:val="a1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s://www.youtube.com/watch?v=a6JKQhTxVqY&amp;list=PLV4zy1apmIUbH8r5cgsi4gx6KdY7xRjbl" TargetMode="External"/><Relationship Id="rId18" Type="http://schemas.openxmlformats.org/officeDocument/2006/relationships/hyperlink" Target="http://www.treasury.un.org" TargetMode="External"/><Relationship Id="rId26" Type="http://schemas.openxmlformats.org/officeDocument/2006/relationships/hyperlink" Target="http://www.unfpa.org/resources/unfpa-general-conditions-de-minimis-contrac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2.unfpa.org/help/hotline.cf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1JOojbH0ds&amp;list=PLV4zy1apmIUYVF6VvVjU0Uf10oGD877KW" TargetMode="External"/><Relationship Id="rId17" Type="http://schemas.openxmlformats.org/officeDocument/2006/relationships/hyperlink" Target="https://www.youtube.com/watch?v=WHKEyK9kOqo&amp;t=2s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ukraine.unfpa.org/uk/GBV_survey2021" TargetMode="External"/><Relationship Id="rId20" Type="http://schemas.openxmlformats.org/officeDocument/2006/relationships/hyperlink" Target="http://www.unfpa.org/resources/fraud-policy-200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GoWmM3nZAU" TargetMode="External"/><Relationship Id="rId24" Type="http://schemas.openxmlformats.org/officeDocument/2006/relationships/hyperlink" Target="mailto:procurement@unfp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zirvykolo.org/" TargetMode="External"/><Relationship Id="rId23" Type="http://schemas.openxmlformats.org/officeDocument/2006/relationships/hyperlink" Target="mailto:kompaniiets@unfpa.org" TargetMode="External"/><Relationship Id="rId28" Type="http://schemas.openxmlformats.org/officeDocument/2006/relationships/hyperlink" Target="http://www.unfpa.org/sites/default/files/resource-pdf/UNFPA%20General%20Conditions%20-%20De%20Minimis%20Contracts%20FR_0.pdf" TargetMode="External"/><Relationship Id="rId10" Type="http://schemas.openxmlformats.org/officeDocument/2006/relationships/hyperlink" Target="https://www.facebook.com/rozirvykolo/" TargetMode="External"/><Relationship Id="rId19" Type="http://schemas.openxmlformats.org/officeDocument/2006/relationships/hyperlink" Target="http://www.unfpa.org/about-procureme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_2v8vNS44Y" TargetMode="External"/><Relationship Id="rId14" Type="http://schemas.openxmlformats.org/officeDocument/2006/relationships/hyperlink" Target="https://www.youtube.com/watch?v=AqOsuaou8qQ" TargetMode="External"/><Relationship Id="rId22" Type="http://schemas.openxmlformats.org/officeDocument/2006/relationships/hyperlink" Target="http://www.unfpa.org/about-procurement" TargetMode="External"/><Relationship Id="rId27" Type="http://schemas.openxmlformats.org/officeDocument/2006/relationships/hyperlink" Target="http://www.unfpa.org/sites/default/files/resource-pdf/UNFPA%20General%20Conditions%20-%20De%20Minimis%20Contracts%20SP_0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A+0nV7ykU9JX5EVyfGLEc0xBA==">AMUW2mWCBYhzsk/O/9HeYVv/VbRNIcB2+ZJWdItAgYuBcISap4Qy3nUL5F/tKF6KaDL0S6hgywXAUZ8RmR4W2AV2k0YAlpSqsV8Bx1ydPMxXZ3RiMN+ct649VjtREYfN+K4vWHSoizsJEb3m4dGIVSiC+neqJGQaJA==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16496</Words>
  <Characters>9404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Учетная запись Майкрософт</cp:lastModifiedBy>
  <cp:revision>2</cp:revision>
  <dcterms:created xsi:type="dcterms:W3CDTF">2021-06-29T12:02:00Z</dcterms:created>
  <dcterms:modified xsi:type="dcterms:W3CDTF">2021-06-29T12:02:00Z</dcterms:modified>
</cp:coreProperties>
</file>