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FE" w:rsidRDefault="00212EFE">
      <w:pPr>
        <w:tabs>
          <w:tab w:val="left" w:pos="5400"/>
        </w:tabs>
        <w:jc w:val="right"/>
      </w:pPr>
    </w:p>
    <w:p w:rsidR="00212EFE" w:rsidRDefault="00574C22">
      <w:pPr>
        <w:tabs>
          <w:tab w:val="left" w:pos="5400"/>
        </w:tabs>
        <w:jc w:val="right"/>
        <w:rPr>
          <w:highlight w:val="white"/>
        </w:rPr>
      </w:pPr>
      <w:r>
        <w:rPr>
          <w:highlight w:val="white"/>
        </w:rPr>
        <w:t>Дата: 13 липня 2023</w:t>
      </w:r>
    </w:p>
    <w:p w:rsidR="00212EFE" w:rsidRDefault="00212EFE">
      <w:pPr>
        <w:tabs>
          <w:tab w:val="left" w:pos="5400"/>
        </w:tabs>
        <w:jc w:val="right"/>
      </w:pPr>
    </w:p>
    <w:p w:rsidR="00212EFE" w:rsidRDefault="00574C22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Затверджено:</w:t>
      </w:r>
    </w:p>
    <w:p w:rsidR="00212EFE" w:rsidRDefault="00574C22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п. Хайме Надаль</w:t>
      </w:r>
    </w:p>
    <w:p w:rsidR="00212EFE" w:rsidRDefault="00574C22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Представник UNFPA, Фонду ООН у галузі народонаселення в Україні</w:t>
      </w:r>
    </w:p>
    <w:p w:rsidR="00212EFE" w:rsidRDefault="00212EFE">
      <w:pPr>
        <w:tabs>
          <w:tab w:val="left" w:pos="-180"/>
          <w:tab w:val="right" w:pos="1980"/>
          <w:tab w:val="left" w:pos="2160"/>
          <w:tab w:val="left" w:pos="4320"/>
        </w:tabs>
      </w:pPr>
    </w:p>
    <w:p w:rsidR="00212EFE" w:rsidRDefault="00574C22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ЗАПИТ НА ПОДАННЯ ПРОПОЗИЦІЙ </w:t>
      </w:r>
    </w:p>
    <w:p w:rsidR="00212EFE" w:rsidRDefault="00574C22">
      <w:pPr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RFQ Nº UNFPA/UKR</w:t>
      </w:r>
      <w:r>
        <w:rPr>
          <w:b/>
          <w:highlight w:val="white"/>
        </w:rPr>
        <w:t>/23/27</w:t>
      </w:r>
    </w:p>
    <w:p w:rsidR="00212EFE" w:rsidRDefault="00212EFE">
      <w:pPr>
        <w:jc w:val="center"/>
      </w:pPr>
    </w:p>
    <w:p w:rsidR="00212EFE" w:rsidRDefault="00574C2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212EFE" w:rsidRDefault="00212EFE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212EFE" w:rsidRDefault="00574C22">
      <w:pPr>
        <w:jc w:val="both"/>
      </w:pPr>
      <w:r>
        <w:t xml:space="preserve">UNFPA, Фонд ООН у галузі народонаселення в Україні запрошує </w:t>
      </w:r>
      <w:r>
        <w:t>Вас надати цінову пропозицію на наступну послугу</w:t>
      </w:r>
    </w:p>
    <w:p w:rsidR="00212EFE" w:rsidRDefault="00574C22">
      <w:pPr>
        <w:jc w:val="center"/>
        <w:rPr>
          <w:b/>
          <w:sz w:val="24"/>
          <w:szCs w:val="24"/>
        </w:rPr>
      </w:pPr>
      <w:r>
        <w:rPr>
          <w:b/>
          <w:color w:val="1F1F1F"/>
          <w:sz w:val="24"/>
          <w:szCs w:val="24"/>
          <w:highlight w:val="white"/>
        </w:rPr>
        <w:t>SMM-підтримка Інстаграм-сторінки “ВОНА хаб” та просування Фейсбук-сторінок 8 (восьми) локальних “ВОНА хабів”</w:t>
      </w:r>
    </w:p>
    <w:p w:rsidR="00212EFE" w:rsidRDefault="00574C22">
      <w:pPr>
        <w:jc w:val="both"/>
      </w:pPr>
      <w:r>
        <w:t>Цей запит відкритий для всіх</w:t>
      </w:r>
      <w:r>
        <w:rPr>
          <w:highlight w:val="white"/>
        </w:rPr>
        <w:t xml:space="preserve"> юридично зареєстрованих компаній</w:t>
      </w:r>
      <w:r>
        <w:t xml:space="preserve"> в Україні, які можуть надавати належ</w:t>
      </w:r>
      <w:r>
        <w:t>ні послуги та володіють правоздатністю постачати/виконувати дані послуги в Україні, або через уповноважених представників.</w:t>
      </w:r>
    </w:p>
    <w:p w:rsidR="00212EFE" w:rsidRDefault="00212EFE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212EFE" w:rsidRDefault="00574C22">
      <w:pPr>
        <w:numPr>
          <w:ilvl w:val="0"/>
          <w:numId w:val="1"/>
        </w:numPr>
        <w:spacing w:after="0" w:line="240" w:lineRule="auto"/>
        <w:ind w:hanging="180"/>
        <w:jc w:val="both"/>
        <w:rPr>
          <w:b/>
          <w:color w:val="000000"/>
        </w:rPr>
      </w:pPr>
      <w:r>
        <w:rPr>
          <w:b/>
          <w:color w:val="000000"/>
        </w:rPr>
        <w:t>Про UNFPA</w:t>
      </w:r>
    </w:p>
    <w:p w:rsidR="00212EFE" w:rsidRDefault="00574C2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UNFPA, Фонд ООН у галузі народонаселення, є міжнародною агенцію з розвитку, метою котрої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</w:t>
      </w:r>
    </w:p>
    <w:p w:rsidR="00212EFE" w:rsidRDefault="00212EFE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212EFE" w:rsidRDefault="00574C2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UNFPA є пров</w:t>
      </w:r>
      <w:r>
        <w:rPr>
          <w:color w:val="000000"/>
        </w:rPr>
        <w:t xml:space="preserve">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>
          <w:rPr>
            <w:color w:val="0070C0"/>
            <w:u w:val="single"/>
          </w:rPr>
          <w:t>UNFPA про нас</w:t>
        </w:r>
      </w:hyperlink>
      <w:r>
        <w:rPr>
          <w:color w:val="0070C0"/>
          <w:u w:val="single"/>
        </w:rPr>
        <w:t>.</w:t>
      </w:r>
    </w:p>
    <w:p w:rsidR="00212EFE" w:rsidRDefault="00212EFE"/>
    <w:p w:rsidR="00212EFE" w:rsidRDefault="00574C22">
      <w:pPr>
        <w:rPr>
          <w:b/>
        </w:rPr>
      </w:pPr>
      <w:r>
        <w:rPr>
          <w:b/>
        </w:rPr>
        <w:t>Технічне завдання (ТЗ)</w:t>
      </w:r>
    </w:p>
    <w:p w:rsidR="00212EFE" w:rsidRDefault="00574C22">
      <w:pPr>
        <w:jc w:val="both"/>
        <w:rPr>
          <w:b/>
        </w:rPr>
      </w:pPr>
      <w:r>
        <w:rPr>
          <w:b/>
        </w:rPr>
        <w:t>Опис програми</w:t>
      </w:r>
    </w:p>
    <w:p w:rsidR="00212EFE" w:rsidRDefault="00574C22">
      <w:pPr>
        <w:jc w:val="both"/>
      </w:pPr>
      <w:r>
        <w:t>Насильство проти жінок та дівчат є одним з найбільш поширених порушень прав людини у світі. Воно не знає ніяких соціальних, економічних чи національни</w:t>
      </w:r>
      <w:r>
        <w:t>х кордонів. Гендерно зумовлене насильство (далі – ГЗН) підриває здоров'я, гідність, безпеку та автономію потерпілих, залишаючись прихованим через культуру мовчання. Воно негативно впливає на сексуальне та репродуктивне здоров'я дівчат і жінок. ГЗН залишаєт</w:t>
      </w:r>
      <w:r>
        <w:t>ься широко поширеним в Україні, а після початку повномасштабного вторгнення призвів до збільшення ризику таких ситуацій.</w:t>
      </w:r>
    </w:p>
    <w:p w:rsidR="00212EFE" w:rsidRDefault="00574C22">
      <w:pPr>
        <w:shd w:val="clear" w:color="auto" w:fill="FFFFFF"/>
        <w:jc w:val="both"/>
      </w:pPr>
      <w:r>
        <w:t>Проєкт UNFPA «Посилення національних і регіональних механізмів побудови адаптивної, підзвітної та економічно ефективної системи протиді</w:t>
      </w:r>
      <w:r>
        <w:t xml:space="preserve">ї та запобігання насильству за ознакою статі» спрямований на посилення національної системи попередження та реагування на гендерно зумовлене насильство на </w:t>
      </w:r>
      <w:r>
        <w:lastRenderedPageBreak/>
        <w:t>загальнодержавному та регіональному рівнях для забезпечення умов, в яких більшість потерпілих від ген</w:t>
      </w:r>
      <w:r>
        <w:t>дерно зумовленого насильства зверталися б по допомогу та мали доступ до якісних послуг з особливою увагою на потерпілих, сприяючи поширенню ідеї «нульової» терпимості до насильства в суспільстві.</w:t>
      </w:r>
    </w:p>
    <w:p w:rsidR="00212EFE" w:rsidRDefault="00574C22">
      <w:pPr>
        <w:shd w:val="clear" w:color="auto" w:fill="FFFFFF"/>
        <w:jc w:val="both"/>
      </w:pPr>
      <w:r>
        <w:t>Протягом останніх років Україна значно просунулась у створен</w:t>
      </w:r>
      <w:r>
        <w:t>ні системи запобігання та протидії домашньому насильству та насильству за ознакою статі. Завдяки наполегливій та ефективній співпраці державних органів, міжнародних інституцій, громадянського суспільства прийнято важливі нормативні акти, які фактично створ</w:t>
      </w:r>
      <w:r>
        <w:t>юють фундамент для розбудови чіткої системи протидії насильству. У 2017 році прийнято Закон України «Про запобігання та протидію домашньому насильству», а на його основі значний обсяг нормативних актів. Зокрема, створені та прийняті Концепція державної соц</w:t>
      </w:r>
      <w:r>
        <w:t>іальної програми запобігання та протидії домашньому насильству та насильству за ознакою статі на період до 2023 року, Типові положення про притулок для постраждалих осіб і мобільні бригади соціально-психологічної допомоги. Наразі відбувається активна робот</w:t>
      </w:r>
      <w:r>
        <w:t>а з їх практичного впровадження на всіх рівнях, перш за все у частині інтеграції спеціалізованих послуг, орієнтованих на постраждалих осіб, до наявної системи надання соціальних послуг зі збереженням базових принципів та міжнародних підходів до надання ком</w:t>
      </w:r>
      <w:r>
        <w:t>плексної допомоги в ситуаціях домашнього та гендерно зумовленого насильства.</w:t>
      </w:r>
    </w:p>
    <w:p w:rsidR="00212EFE" w:rsidRDefault="00574C22">
      <w:pPr>
        <w:jc w:val="both"/>
      </w:pPr>
      <w:r>
        <w:t xml:space="preserve">Економічне розширення можливостей жінок має величезне значення у розірванні кола насильства та запобіганні домашньому насильству загалом. Метою створення веб-платформи </w:t>
      </w:r>
      <w:hyperlink r:id="rId9">
        <w:r>
          <w:rPr>
            <w:color w:val="1155CC"/>
            <w:u w:val="single"/>
          </w:rPr>
          <w:t>«Вона хаб»</w:t>
        </w:r>
      </w:hyperlink>
      <w:r>
        <w:t xml:space="preserve"> є сприяння розвитку професійного потенціалу та фінансової спроможності жінок, постраждалих від домашнього/гендерно зумовленого насильства, або жінок, які перебувають у групі ризику потрапляння у випадки насиль</w:t>
      </w:r>
      <w:r>
        <w:t>ства.</w:t>
      </w:r>
    </w:p>
    <w:p w:rsidR="00212EFE" w:rsidRDefault="00574C22">
      <w:pPr>
        <w:jc w:val="both"/>
      </w:pPr>
      <w:r>
        <w:rPr>
          <w:color w:val="000000"/>
        </w:rPr>
        <w:t>Назва кар’єрного хабу «ВОНА» складається з перших літер 4 слів – Вільна, Окрилена, Незалежна, Амбітна.</w:t>
      </w:r>
    </w:p>
    <w:p w:rsidR="00212EFE" w:rsidRDefault="00574C22">
      <w:pPr>
        <w:jc w:val="both"/>
      </w:pPr>
      <w:r>
        <w:t xml:space="preserve">В рамках проєкту пропонуються наступні послуги: </w:t>
      </w:r>
    </w:p>
    <w:p w:rsidR="00212EFE" w:rsidRDefault="00574C22">
      <w:pPr>
        <w:numPr>
          <w:ilvl w:val="0"/>
          <w:numId w:val="2"/>
        </w:numPr>
        <w:jc w:val="both"/>
      </w:pPr>
      <w:r>
        <w:t xml:space="preserve">Консультації кар’єрних радників/ць щодо здобуття професійних навичок та індивідуальна підтримка в </w:t>
      </w:r>
      <w:r>
        <w:t xml:space="preserve">пошуку роботи; </w:t>
      </w:r>
    </w:p>
    <w:p w:rsidR="00212EFE" w:rsidRDefault="00574C22">
      <w:pPr>
        <w:numPr>
          <w:ilvl w:val="0"/>
          <w:numId w:val="2"/>
        </w:numPr>
        <w:jc w:val="both"/>
      </w:pPr>
      <w:r>
        <w:t>Організація професійних курсів для клієнток хабу, які хочуть здобути нові знання, навички чи професію з метою розширення можливостей працевлаштування або започаткування ініціатив, що можуть приносити дохід.</w:t>
      </w:r>
    </w:p>
    <w:p w:rsidR="00212EFE" w:rsidRDefault="00574C22">
      <w:pPr>
        <w:numPr>
          <w:ilvl w:val="0"/>
          <w:numId w:val="2"/>
        </w:numPr>
        <w:jc w:val="both"/>
      </w:pPr>
      <w:r>
        <w:t xml:space="preserve">Психологічна підтримка жінок, що </w:t>
      </w:r>
      <w:r>
        <w:t xml:space="preserve">постраждали від домашнього чи гендерно зумовленого насильства. Залежно від потреб, кар'єрні радниці чи радники можуть направити на консультацію до психолога чи психологині. </w:t>
      </w:r>
    </w:p>
    <w:p w:rsidR="00212EFE" w:rsidRDefault="00212EFE">
      <w:pPr>
        <w:spacing w:line="256" w:lineRule="auto"/>
        <w:jc w:val="both"/>
        <w:rPr>
          <w:b/>
        </w:rPr>
      </w:pPr>
    </w:p>
    <w:p w:rsidR="00212EFE" w:rsidRDefault="00574C22">
      <w:pPr>
        <w:spacing w:line="256" w:lineRule="auto"/>
        <w:jc w:val="both"/>
        <w:rPr>
          <w:b/>
        </w:rPr>
      </w:pPr>
      <w:r>
        <w:rPr>
          <w:b/>
        </w:rPr>
        <w:t xml:space="preserve">Екосистема проєкту “ВОНА хаб” наразі включає: </w:t>
      </w:r>
    </w:p>
    <w:p w:rsidR="00212EFE" w:rsidRDefault="00574C22">
      <w:pPr>
        <w:spacing w:after="0" w:line="276" w:lineRule="auto"/>
        <w:jc w:val="both"/>
      </w:pPr>
      <w:r>
        <w:t>Веб-сайт “ВОНА хаб”, де користувач</w:t>
      </w:r>
      <w:r>
        <w:t xml:space="preserve">ам/-кам доступна інформація про те, хто та як може отримати допомогу завдяки “ВОНА хабу”, а також новини, історії успіху та корисні матеріали проєкту. </w:t>
      </w:r>
    </w:p>
    <w:p w:rsidR="00212EFE" w:rsidRDefault="00212EFE">
      <w:pPr>
        <w:spacing w:after="0" w:line="276" w:lineRule="auto"/>
        <w:jc w:val="both"/>
      </w:pPr>
    </w:p>
    <w:p w:rsidR="00212EFE" w:rsidRDefault="00574C22">
      <w:pPr>
        <w:spacing w:after="0" w:line="276" w:lineRule="auto"/>
        <w:jc w:val="both"/>
      </w:pPr>
      <w:hyperlink r:id="rId10">
        <w:r>
          <w:rPr>
            <w:color w:val="1155CC"/>
            <w:u w:val="single"/>
          </w:rPr>
          <w:t>Instagram-сторінка</w:t>
        </w:r>
      </w:hyperlink>
      <w:r>
        <w:t xml:space="preserve"> “ВОНА хаб”, де висвітлюються </w:t>
      </w:r>
      <w:r>
        <w:t>анонси подій у всіх “ВОНА хабах”, що спрямовані на розвиток професійного потенціалу жінок, поради про те, як знайти роботу чи відкрити власну справу, а також навіщо та як саме жінка може звернутись до “ВОНА хабу” та отримати професійну допомогу на шляху до</w:t>
      </w:r>
      <w:r>
        <w:t xml:space="preserve"> економічної незалежності. </w:t>
      </w:r>
    </w:p>
    <w:p w:rsidR="00212EFE" w:rsidRDefault="00212EFE">
      <w:pPr>
        <w:spacing w:after="0" w:line="276" w:lineRule="auto"/>
        <w:jc w:val="both"/>
      </w:pPr>
    </w:p>
    <w:p w:rsidR="00212EFE" w:rsidRDefault="00212EFE">
      <w:pPr>
        <w:spacing w:after="0" w:line="276" w:lineRule="auto"/>
        <w:jc w:val="both"/>
      </w:pPr>
    </w:p>
    <w:p w:rsidR="00212EFE" w:rsidRDefault="00574C22">
      <w:pPr>
        <w:spacing w:after="0" w:line="276" w:lineRule="auto"/>
        <w:jc w:val="both"/>
      </w:pPr>
      <w:r>
        <w:t>У зв’язку з повномасштабним вторгненням Росії у лютому 2022 року зросла кількість жінок, що знаходяться у зоні підвищеного ризику зазнати насильства, стали внутрішньо переміщеними та не мають технічних можливостей для проходження навчання чи написання резю</w:t>
      </w:r>
      <w:r>
        <w:t>ме. Через це проєкт вийшов на новий етап розвитку – створення локальних офлайн хабів у містах України.  Над тим, аби жінки почували себе вільно і незалежно, працюють команди кар’єрних офлайн-хабів «ВОНА» у містах Дніпро, Львів, Ужгород, Київ (та Київська о</w:t>
      </w:r>
      <w:r>
        <w:t xml:space="preserve">бласть), Запоріжжя, Чернівці, Луцьк. Планується відкриття хабу в Одесі. </w:t>
      </w:r>
    </w:p>
    <w:p w:rsidR="00212EFE" w:rsidRDefault="00212EFE">
      <w:pPr>
        <w:spacing w:after="0" w:line="276" w:lineRule="auto"/>
        <w:jc w:val="both"/>
      </w:pPr>
    </w:p>
    <w:p w:rsidR="00212EFE" w:rsidRDefault="00574C22">
      <w:pPr>
        <w:spacing w:after="0" w:line="276" w:lineRule="auto"/>
        <w:jc w:val="both"/>
      </w:pPr>
      <w:r>
        <w:t xml:space="preserve">Кожен із офлайн-хабів має свою Facebook-сторінку: </w:t>
      </w:r>
      <w:hyperlink r:id="rId11">
        <w:r>
          <w:rPr>
            <w:color w:val="1155CC"/>
            <w:u w:val="single"/>
          </w:rPr>
          <w:t>Дніпро</w:t>
        </w:r>
      </w:hyperlink>
      <w:r>
        <w:t xml:space="preserve">, </w:t>
      </w:r>
      <w:hyperlink r:id="rId12">
        <w:r>
          <w:rPr>
            <w:color w:val="1155CC"/>
            <w:u w:val="single"/>
          </w:rPr>
          <w:t>Львів</w:t>
        </w:r>
      </w:hyperlink>
      <w:r>
        <w:t xml:space="preserve">, </w:t>
      </w:r>
      <w:hyperlink r:id="rId13">
        <w:r>
          <w:rPr>
            <w:color w:val="1155CC"/>
            <w:u w:val="single"/>
          </w:rPr>
          <w:t>Ужгород</w:t>
        </w:r>
      </w:hyperlink>
      <w:r>
        <w:t xml:space="preserve">, </w:t>
      </w:r>
      <w:hyperlink r:id="rId14">
        <w:r>
          <w:rPr>
            <w:color w:val="1155CC"/>
            <w:u w:val="single"/>
          </w:rPr>
          <w:t>Київська область</w:t>
        </w:r>
      </w:hyperlink>
      <w:r>
        <w:t xml:space="preserve">, </w:t>
      </w:r>
      <w:hyperlink r:id="rId15">
        <w:r>
          <w:rPr>
            <w:color w:val="1155CC"/>
            <w:u w:val="single"/>
          </w:rPr>
          <w:t>Запоріжжя</w:t>
        </w:r>
      </w:hyperlink>
      <w:r>
        <w:t xml:space="preserve">, </w:t>
      </w:r>
      <w:hyperlink r:id="rId16">
        <w:r>
          <w:rPr>
            <w:color w:val="1155CC"/>
            <w:u w:val="single"/>
          </w:rPr>
          <w:t>Чернівці</w:t>
        </w:r>
      </w:hyperlink>
      <w:r>
        <w:t xml:space="preserve">, </w:t>
      </w:r>
      <w:hyperlink r:id="rId17">
        <w:r>
          <w:rPr>
            <w:color w:val="1155CC"/>
            <w:u w:val="single"/>
          </w:rPr>
          <w:t>Луцьк</w:t>
        </w:r>
      </w:hyperlink>
      <w:r>
        <w:t>. Восьмий хаб запрацює орієнтовно у вересні 2023 року, тоді ж з’явиться Facebook-сторінка хабу</w:t>
      </w:r>
      <w:r>
        <w:t xml:space="preserve">. </w:t>
      </w:r>
    </w:p>
    <w:p w:rsidR="00212EFE" w:rsidRDefault="00212EFE">
      <w:pPr>
        <w:rPr>
          <w:b/>
        </w:rPr>
      </w:pPr>
    </w:p>
    <w:p w:rsidR="00212EFE" w:rsidRDefault="00574C22">
      <w:pPr>
        <w:rPr>
          <w:b/>
        </w:rPr>
      </w:pPr>
      <w:r>
        <w:rPr>
          <w:b/>
        </w:rPr>
        <w:t xml:space="preserve">II. Методологія </w:t>
      </w:r>
    </w:p>
    <w:p w:rsidR="00212EFE" w:rsidRDefault="00574C22">
      <w:pPr>
        <w:pStyle w:val="Heading3"/>
        <w:keepNext w:val="0"/>
        <w:keepLines w:val="0"/>
        <w:spacing w:line="276" w:lineRule="auto"/>
        <w:jc w:val="both"/>
        <w:rPr>
          <w:sz w:val="22"/>
          <w:szCs w:val="22"/>
        </w:rPr>
      </w:pPr>
      <w:bookmarkStart w:id="0" w:name="_heading=h.gbbb3c2yjldm" w:colFirst="0" w:colLast="0"/>
      <w:bookmarkEnd w:id="0"/>
      <w:r>
        <w:rPr>
          <w:sz w:val="22"/>
          <w:szCs w:val="22"/>
        </w:rPr>
        <w:t>Мета</w:t>
      </w:r>
    </w:p>
    <w:p w:rsidR="00212EFE" w:rsidRDefault="00574C22">
      <w:pPr>
        <w:spacing w:line="256" w:lineRule="auto"/>
        <w:jc w:val="both"/>
      </w:pPr>
      <w:r>
        <w:t>UNFPA, Фонд ООН у галузі народонаселення в Україні  запрошує постачальників послуг, які мають успішний досвід роботи у сфері комунікацій. Із постачальником буде укладено договір, згідно з яким постачальник надаватиме послуги. Обра</w:t>
      </w:r>
      <w:r>
        <w:t>ний постачальник послуг працюватиме під керівництвом Спеціалістки з питань комунікації UNFPA та консультанта з комунікацій UNFPA. Мета завдання – SMM підтримка та просування Instagram-сторінки проєкту “ВОНА хаб”, а також просування 8 (восьми) Facebook-стор</w:t>
      </w:r>
      <w:r>
        <w:t xml:space="preserve">інок локальних хабів із метою досягти визначених цілей. Наразі є лише сім Facebook-сторінок. Однак приблизно з вересня 2023 року треба буде також здійснювати промо сторінки хабу в Одесі та публікацій із цієї сторінки. </w:t>
      </w:r>
    </w:p>
    <w:p w:rsidR="00212EFE" w:rsidRDefault="00574C22">
      <w:pPr>
        <w:spacing w:after="0" w:line="276" w:lineRule="auto"/>
        <w:jc w:val="both"/>
      </w:pPr>
      <w:r>
        <w:t>SMM підтримка та просування соціальни</w:t>
      </w:r>
      <w:r>
        <w:t xml:space="preserve">х сторінок із метою досягнення поставлених показників повинна відбуватись у період із 14 серпня 2023 року до 30 листопада 2024 року. </w:t>
      </w:r>
    </w:p>
    <w:p w:rsidR="00212EFE" w:rsidRDefault="00574C22">
      <w:pPr>
        <w:pStyle w:val="Heading3"/>
        <w:keepNext w:val="0"/>
        <w:keepLines w:val="0"/>
        <w:spacing w:line="276" w:lineRule="auto"/>
        <w:jc w:val="both"/>
        <w:rPr>
          <w:sz w:val="22"/>
          <w:szCs w:val="22"/>
        </w:rPr>
      </w:pPr>
      <w:bookmarkStart w:id="1" w:name="_heading=h.k6z45lez5uxs" w:colFirst="0" w:colLast="0"/>
      <w:bookmarkEnd w:id="1"/>
      <w:r>
        <w:rPr>
          <w:sz w:val="22"/>
          <w:szCs w:val="22"/>
        </w:rPr>
        <w:t>Очікувані задачі</w:t>
      </w:r>
    </w:p>
    <w:p w:rsidR="00212EFE" w:rsidRDefault="00574C22">
      <w:pPr>
        <w:spacing w:line="256" w:lineRule="auto"/>
        <w:jc w:val="both"/>
      </w:pPr>
      <w:r>
        <w:t>Під супроводом комунікаційного менеджера та консультантки від UNFPA, постачальник послуг повинен виконати</w:t>
      </w:r>
      <w:r>
        <w:t xml:space="preserve"> ряд задач та досягти відповідних результатів:</w:t>
      </w:r>
    </w:p>
    <w:p w:rsidR="00212EFE" w:rsidRDefault="00574C22">
      <w:pPr>
        <w:spacing w:line="256" w:lineRule="auto"/>
        <w:jc w:val="both"/>
        <w:rPr>
          <w:b/>
        </w:rPr>
      </w:pPr>
      <w:r>
        <w:rPr>
          <w:b/>
        </w:rPr>
        <w:t xml:space="preserve">1. Створювати контент для Instagram-сторінки </w:t>
      </w:r>
      <w:hyperlink r:id="rId18">
        <w:r>
          <w:rPr>
            <w:b/>
            <w:color w:val="1155CC"/>
            <w:u w:val="single"/>
          </w:rPr>
          <w:t>“ВОНА хаб”</w:t>
        </w:r>
      </w:hyperlink>
      <w:r>
        <w:rPr>
          <w:b/>
        </w:rPr>
        <w:t xml:space="preserve">: планування та постинг затверджених публікацій та сторіз. </w:t>
      </w:r>
    </w:p>
    <w:p w:rsidR="00212EFE" w:rsidRDefault="00574C22">
      <w:pPr>
        <w:spacing w:line="256" w:lineRule="auto"/>
        <w:jc w:val="both"/>
      </w:pPr>
      <w:r>
        <w:t xml:space="preserve">Підрядник повинен розробляти і надавати місячний план публікацій на наступний місяць для Instagram-сторінки </w:t>
      </w:r>
      <w:hyperlink r:id="rId19">
        <w:r>
          <w:rPr>
            <w:color w:val="1155CC"/>
            <w:u w:val="single"/>
          </w:rPr>
          <w:t>“ВОНА хаб”</w:t>
        </w:r>
      </w:hyperlink>
      <w:r>
        <w:t xml:space="preserve">. </w:t>
      </w:r>
    </w:p>
    <w:p w:rsidR="00212EFE" w:rsidRDefault="00574C22">
      <w:pPr>
        <w:spacing w:line="256" w:lineRule="auto"/>
        <w:jc w:val="both"/>
      </w:pPr>
      <w:r>
        <w:t>Теми публікацій повинні включати, зокрема, такі: особливості роботи сервісів “ВО</w:t>
      </w:r>
      <w:r>
        <w:t>НА хабу” в різних містах, поради кар’єрних радниць, анонси подій у восьми офлайн-хабах, історії успіху клієнток хабів, які відкрили власну справу або знайшли роботу тощо.</w:t>
      </w:r>
    </w:p>
    <w:p w:rsidR="00212EFE" w:rsidRDefault="00574C22">
      <w:pPr>
        <w:spacing w:line="256" w:lineRule="auto"/>
        <w:jc w:val="both"/>
      </w:pPr>
      <w:r>
        <w:t>Підрядник буде тісно взаємодіяти із комунікаційним менеджером та консультанткою від U</w:t>
      </w:r>
      <w:r>
        <w:t>NFPA. Також підрядник повинен буде робити публікації та сторіз про ключові події, що відбуватимуться у локальних хабах.</w:t>
      </w:r>
    </w:p>
    <w:p w:rsidR="00212EFE" w:rsidRDefault="00574C22">
      <w:pPr>
        <w:spacing w:line="256" w:lineRule="auto"/>
        <w:jc w:val="both"/>
      </w:pPr>
      <w:r>
        <w:t xml:space="preserve">Планові місячні індикатори щодо постингу контенту: </w:t>
      </w:r>
    </w:p>
    <w:p w:rsidR="00212EFE" w:rsidRDefault="00574C22">
      <w:pPr>
        <w:numPr>
          <w:ilvl w:val="0"/>
          <w:numId w:val="3"/>
        </w:numPr>
        <w:spacing w:after="0" w:line="256" w:lineRule="auto"/>
        <w:jc w:val="both"/>
      </w:pPr>
      <w:r>
        <w:t xml:space="preserve">щонайменше 10 публікацій місячно для Instagram-сторінки </w:t>
      </w:r>
      <w:hyperlink r:id="rId20">
        <w:r>
          <w:rPr>
            <w:color w:val="1155CC"/>
            <w:u w:val="single"/>
          </w:rPr>
          <w:t>“ВОНА хаб”</w:t>
        </w:r>
      </w:hyperlink>
    </w:p>
    <w:p w:rsidR="00212EFE" w:rsidRDefault="00574C22">
      <w:pPr>
        <w:numPr>
          <w:ilvl w:val="0"/>
          <w:numId w:val="3"/>
        </w:numPr>
        <w:spacing w:line="256" w:lineRule="auto"/>
        <w:jc w:val="both"/>
      </w:pPr>
      <w:r>
        <w:t xml:space="preserve">щонайменше 20 сторіз місячно для Instagram-сторінки </w:t>
      </w:r>
      <w:hyperlink r:id="rId21">
        <w:r>
          <w:rPr>
            <w:color w:val="1155CC"/>
            <w:u w:val="single"/>
          </w:rPr>
          <w:t>“ВОНА хаб”</w:t>
        </w:r>
      </w:hyperlink>
      <w:r>
        <w:t xml:space="preserve">  </w:t>
      </w:r>
    </w:p>
    <w:p w:rsidR="00212EFE" w:rsidRDefault="00212EFE">
      <w:pPr>
        <w:spacing w:line="256" w:lineRule="auto"/>
        <w:jc w:val="both"/>
      </w:pPr>
    </w:p>
    <w:p w:rsidR="00212EFE" w:rsidRDefault="00212EFE">
      <w:pPr>
        <w:spacing w:after="0" w:line="256" w:lineRule="auto"/>
        <w:ind w:left="-120"/>
        <w:rPr>
          <w:b/>
        </w:rPr>
      </w:pPr>
    </w:p>
    <w:p w:rsidR="00212EFE" w:rsidRDefault="00212EFE">
      <w:pPr>
        <w:spacing w:after="0" w:line="256" w:lineRule="auto"/>
        <w:ind w:left="-120"/>
        <w:rPr>
          <w:b/>
        </w:rPr>
      </w:pPr>
    </w:p>
    <w:p w:rsidR="00212EFE" w:rsidRDefault="00574C22">
      <w:pPr>
        <w:spacing w:after="0" w:line="256" w:lineRule="auto"/>
        <w:ind w:left="-120"/>
        <w:rPr>
          <w:b/>
        </w:rPr>
      </w:pPr>
      <w:r>
        <w:rPr>
          <w:b/>
        </w:rPr>
        <w:t xml:space="preserve">2. Просування публікацій на Instagram-сторінці </w:t>
      </w:r>
      <w:hyperlink r:id="rId22">
        <w:r>
          <w:rPr>
            <w:b/>
            <w:color w:val="1155CC"/>
            <w:u w:val="single"/>
          </w:rPr>
          <w:t>“ВОНА хаб”</w:t>
        </w:r>
      </w:hyperlink>
      <w:r>
        <w:rPr>
          <w:b/>
        </w:rPr>
        <w:t xml:space="preserve"> та на 8 Facebook-сторінках хабів для досягнення щомісячних цілей (сумарно): </w:t>
      </w:r>
    </w:p>
    <w:p w:rsidR="00212EFE" w:rsidRDefault="00574C22">
      <w:pPr>
        <w:numPr>
          <w:ilvl w:val="0"/>
          <w:numId w:val="4"/>
        </w:numPr>
        <w:spacing w:after="0" w:line="256" w:lineRule="auto"/>
      </w:pPr>
      <w:r>
        <w:t xml:space="preserve">охоплення – щонайменше 250 000, </w:t>
      </w:r>
    </w:p>
    <w:p w:rsidR="00212EFE" w:rsidRDefault="00574C22">
      <w:pPr>
        <w:numPr>
          <w:ilvl w:val="0"/>
          <w:numId w:val="4"/>
        </w:numPr>
        <w:spacing w:line="256" w:lineRule="auto"/>
      </w:pPr>
      <w:r>
        <w:t>залучення - щонайменше 12 000.</w:t>
      </w:r>
    </w:p>
    <w:p w:rsidR="00212EFE" w:rsidRDefault="00574C22">
      <w:pPr>
        <w:spacing w:line="256" w:lineRule="auto"/>
        <w:jc w:val="both"/>
        <w:rPr>
          <w:b/>
        </w:rPr>
      </w:pPr>
      <w:r>
        <w:rPr>
          <w:b/>
        </w:rPr>
        <w:t>3. Модерація відповідей на коментарі та приватні повідомлення від користувачів – на Instagram-сто</w:t>
      </w:r>
      <w:r>
        <w:rPr>
          <w:b/>
        </w:rPr>
        <w:t xml:space="preserve">рінці </w:t>
      </w:r>
      <w:hyperlink r:id="rId23">
        <w:r>
          <w:rPr>
            <w:b/>
            <w:color w:val="1155CC"/>
            <w:u w:val="single"/>
          </w:rPr>
          <w:t>“ВОНА хаб”</w:t>
        </w:r>
      </w:hyperlink>
      <w:r>
        <w:rPr>
          <w:b/>
        </w:rPr>
        <w:t>.</w:t>
      </w:r>
    </w:p>
    <w:p w:rsidR="00212EFE" w:rsidRDefault="00574C22">
      <w:pPr>
        <w:spacing w:line="256" w:lineRule="auto"/>
        <w:jc w:val="both"/>
      </w:pPr>
      <w:r>
        <w:t>Підрядник повинен кожного дня оперативно реагувати на коментарі та приватні повідомлення. Для уточнення певних відповідей підрядник буде тісно взаємодіяти із комунікаційним менеджером</w:t>
      </w:r>
      <w:r>
        <w:t xml:space="preserve"> та консультанткою UNFPA.</w:t>
      </w:r>
    </w:p>
    <w:p w:rsidR="00212EFE" w:rsidRDefault="00574C22">
      <w:pPr>
        <w:spacing w:line="256" w:lineRule="auto"/>
        <w:jc w:val="both"/>
        <w:rPr>
          <w:b/>
        </w:rPr>
      </w:pPr>
      <w:r>
        <w:rPr>
          <w:b/>
        </w:rPr>
        <w:t>4. Надавати місячну звітність</w:t>
      </w:r>
    </w:p>
    <w:p w:rsidR="00212EFE" w:rsidRDefault="00574C22">
      <w:pPr>
        <w:spacing w:line="256" w:lineRule="auto"/>
        <w:jc w:val="both"/>
      </w:pPr>
      <w:r>
        <w:t>Підрядник повинен подавати звіт за попередній місяць до 10 числа наступного місяця. Звіт має включати такі показники: показник охоплення та залучення публікацій і сторіз, кількість постів та сторіз, к</w:t>
      </w:r>
      <w:r>
        <w:t>ількість підписників, нових підписників (включно з розбивкою нових підписників за статтю, віком), загальне органічне і платне охоплення, витрачений бюджет на рекламу тощо.</w:t>
      </w:r>
    </w:p>
    <w:p w:rsidR="00212EFE" w:rsidRDefault="00574C22">
      <w:pPr>
        <w:spacing w:line="256" w:lineRule="auto"/>
        <w:jc w:val="both"/>
        <w:rPr>
          <w:b/>
        </w:rPr>
      </w:pPr>
      <w:r>
        <w:rPr>
          <w:b/>
        </w:rPr>
        <w:t xml:space="preserve">5. Створення та/або координація створення візуальних матеріалів. </w:t>
      </w:r>
    </w:p>
    <w:p w:rsidR="00212EFE" w:rsidRDefault="00574C22">
      <w:pPr>
        <w:spacing w:line="256" w:lineRule="auto"/>
        <w:jc w:val="both"/>
        <w:rPr>
          <w:b/>
        </w:rPr>
      </w:pPr>
      <w:r>
        <w:t xml:space="preserve">Підрядник повинен </w:t>
      </w:r>
      <w:r>
        <w:t>буде створювати технічне завдання дизайнеру для розробки візуальних матеріалів, а також здійснювати безпосередньо комунікацію з дизайнером. Важливо: дизайнер – на стороні UNFPA, контакти будуть надані.  Всі візуальні матеріали повинні бути розроблені відпо</w:t>
      </w:r>
      <w:r>
        <w:t xml:space="preserve">відно до брендбуку “ВОНА хабу”, який можна знайти за посиланням </w:t>
      </w:r>
      <w:hyperlink r:id="rId24">
        <w:r>
          <w:rPr>
            <w:color w:val="1155CC"/>
            <w:u w:val="single"/>
          </w:rPr>
          <w:t>тут</w:t>
        </w:r>
      </w:hyperlink>
      <w:r>
        <w:t>. Всі візуальні матеріали треба погоджувати із комунікаційним менеджером та/або консуль</w:t>
      </w:r>
      <w:r>
        <w:t>танткою від UNFPA.</w:t>
      </w:r>
    </w:p>
    <w:p w:rsidR="00212EFE" w:rsidRDefault="00574C22">
      <w:pPr>
        <w:spacing w:line="256" w:lineRule="auto"/>
        <w:jc w:val="both"/>
      </w:pPr>
      <w:r>
        <w:rPr>
          <w:b/>
        </w:rPr>
        <w:t>Інше</w:t>
      </w:r>
      <w:r>
        <w:t>:</w:t>
      </w:r>
    </w:p>
    <w:p w:rsidR="00212EFE" w:rsidRDefault="00574C22">
      <w:pPr>
        <w:spacing w:line="256" w:lineRule="auto"/>
        <w:jc w:val="both"/>
      </w:pPr>
      <w:r>
        <w:t>Що стосується 8 (восьми) Facebook-сторінкок хабів, то підрядник повинен буде здійснювати лише промо окремих публікацій цих сторінок та/або самих сторінок. Публікація постів на цих сторінках, а також взаємодія з підписниками/-цями н</w:t>
      </w:r>
      <w:r>
        <w:t xml:space="preserve">е будуть здійснюватись підрядником. </w:t>
      </w:r>
    </w:p>
    <w:p w:rsidR="00212EFE" w:rsidRDefault="00574C22">
      <w:pPr>
        <w:pStyle w:val="Heading3"/>
        <w:keepNext w:val="0"/>
        <w:keepLines w:val="0"/>
        <w:spacing w:line="276" w:lineRule="auto"/>
        <w:jc w:val="both"/>
      </w:pPr>
      <w:bookmarkStart w:id="2" w:name="_heading=h.qr4zjsn7ltsg" w:colFirst="0" w:colLast="0"/>
      <w:bookmarkEnd w:id="2"/>
      <w:r>
        <w:rPr>
          <w:sz w:val="22"/>
          <w:szCs w:val="22"/>
        </w:rPr>
        <w:t>Оплата</w:t>
      </w:r>
    </w:p>
    <w:p w:rsidR="00212EFE" w:rsidRDefault="00574C22">
      <w:pPr>
        <w:spacing w:line="256" w:lineRule="auto"/>
        <w:jc w:val="both"/>
      </w:pPr>
      <w:r>
        <w:t>Усі послуги, передбачені даним технічним завданням, мають бути надані замовнику до 30 листопада 2024 року.</w:t>
      </w:r>
    </w:p>
    <w:tbl>
      <w:tblPr>
        <w:tblStyle w:val="Style48"/>
        <w:tblW w:w="963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195"/>
        <w:gridCol w:w="2685"/>
      </w:tblGrid>
      <w:tr w:rsidR="00212EFE">
        <w:trPr>
          <w:trHeight w:val="73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 xml:space="preserve"> #</w:t>
            </w:r>
          </w:p>
        </w:tc>
        <w:tc>
          <w:tcPr>
            <w:tcW w:w="6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Послуги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Умови та терміни оплати</w:t>
            </w:r>
          </w:p>
        </w:tc>
      </w:tr>
      <w:tr w:rsidR="00212EFE">
        <w:trPr>
          <w:trHeight w:val="73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Звіт щодо наданих послуг у рамках вимог ТЗ  за період – з</w:t>
            </w:r>
            <w:r>
              <w:rPr>
                <w:highlight w:val="white"/>
              </w:rPr>
              <w:t xml:space="preserve"> 14 серпня 2023 року -</w:t>
            </w:r>
            <w:r>
              <w:t xml:space="preserve"> до 30 вересня 2023 року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center"/>
            </w:pPr>
            <w:r>
              <w:t>10 %</w:t>
            </w:r>
          </w:p>
        </w:tc>
      </w:tr>
      <w:tr w:rsidR="00212EFE">
        <w:trPr>
          <w:trHeight w:val="73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Звіт щодо наданих послуг у рамках вимог ТЗ  за період – 1 жовтня 2023 року – 31 грудня 2023 року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center"/>
            </w:pPr>
            <w:r>
              <w:t>20 %</w:t>
            </w:r>
          </w:p>
        </w:tc>
      </w:tr>
      <w:tr w:rsidR="00212EFE">
        <w:trPr>
          <w:trHeight w:val="73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Звіт щодо наданих послуг у рамках вимог ТЗ  за період - 1 січня 2024 року – 31 березня 2024 року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center"/>
            </w:pPr>
            <w:r>
              <w:t>20 %</w:t>
            </w:r>
          </w:p>
        </w:tc>
      </w:tr>
      <w:tr w:rsidR="00212EFE">
        <w:trPr>
          <w:trHeight w:val="73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lastRenderedPageBreak/>
              <w:t>4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Звіт щодо наданих послуг у рамках вимог ТЗ  за період - 1 квітня 2024 року – 30 червня 2024 року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center"/>
            </w:pPr>
            <w:r>
              <w:t>20 %</w:t>
            </w:r>
          </w:p>
        </w:tc>
      </w:tr>
      <w:tr w:rsidR="00212EFE">
        <w:trPr>
          <w:trHeight w:val="73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5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Звіт щодо наданих послуг у рамках вимог ТЗ  за період - 1 липня 2024 року – 30 вересня 2024 року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center"/>
            </w:pPr>
            <w:r>
              <w:t>20 %</w:t>
            </w:r>
          </w:p>
        </w:tc>
      </w:tr>
      <w:tr w:rsidR="00212EFE">
        <w:trPr>
          <w:trHeight w:val="73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>6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both"/>
            </w:pPr>
            <w:r>
              <w:t xml:space="preserve">Звіт щодо наданих послуг у рамках </w:t>
            </w:r>
            <w:r>
              <w:t>вимог ТЗ  за період - 1 жовтня 2024 року – 30 листопада 2024 року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00"/>
              <w:jc w:val="center"/>
            </w:pPr>
            <w:r>
              <w:t>10 %</w:t>
            </w:r>
          </w:p>
        </w:tc>
      </w:tr>
    </w:tbl>
    <w:p w:rsidR="00212EFE" w:rsidRDefault="00574C22">
      <w:pPr>
        <w:spacing w:before="80" w:after="80" w:line="256" w:lineRule="auto"/>
        <w:jc w:val="both"/>
        <w:rPr>
          <w:b/>
        </w:rPr>
      </w:pPr>
      <w:r>
        <w:rPr>
          <w:highlight w:val="yellow"/>
        </w:rPr>
        <w:t xml:space="preserve"> </w:t>
      </w:r>
    </w:p>
    <w:p w:rsidR="00212EFE" w:rsidRDefault="00574C2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212EFE" w:rsidRDefault="00574C22">
      <w:pPr>
        <w:jc w:val="both"/>
      </w:pPr>
      <w:r>
        <w:t xml:space="preserve">Вся інформація щодо цього проекту (документальна, аудіо, візуальна, цифрова, кібер, проектна документація тощо), що належить UNFPA, Фонд ООН у галузі </w:t>
      </w:r>
      <w:r>
        <w:t>народонаселення в Україні, з яким Підрядник може вступати в контакт при виконанні обов'язків за цим завданням, залишається власністю UNFPA, Фонду ООН у галузі народонаселення в Україні з ексклюзивними правами на їх використання. За винятком цілей цього зав</w:t>
      </w:r>
      <w:r>
        <w:t>дання, інформація не повинна бути розкрита для громадськості і не використовується в будь-яких інших цілях без письмового дозволу UNFPA, Фонду ООН у галузі народонаселення в Україні відповідно до національних та міжнародних законів про авторське право.</w:t>
      </w:r>
    </w:p>
    <w:p w:rsidR="00212EFE" w:rsidRDefault="00574C22">
      <w:pPr>
        <w:pStyle w:val="Heading3"/>
        <w:keepNext w:val="0"/>
        <w:keepLines w:val="0"/>
        <w:spacing w:line="276" w:lineRule="auto"/>
        <w:jc w:val="both"/>
        <w:rPr>
          <w:sz w:val="22"/>
          <w:szCs w:val="22"/>
        </w:rPr>
      </w:pPr>
      <w:bookmarkStart w:id="3" w:name="_heading=h.2wxpa4z0l9vs" w:colFirst="0" w:colLast="0"/>
      <w:bookmarkEnd w:id="3"/>
      <w:r>
        <w:rPr>
          <w:sz w:val="22"/>
          <w:szCs w:val="22"/>
        </w:rPr>
        <w:t>Вим</w:t>
      </w:r>
      <w:r>
        <w:rPr>
          <w:sz w:val="22"/>
          <w:szCs w:val="22"/>
        </w:rPr>
        <w:t>оги щодо кваліфікації</w:t>
      </w:r>
    </w:p>
    <w:p w:rsidR="00212EFE" w:rsidRDefault="00574C22">
      <w:pPr>
        <w:spacing w:line="256" w:lineRule="auto"/>
        <w:jc w:val="both"/>
      </w:pPr>
      <w:r>
        <w:t>UNFPA, Фонд ООН у галузі народонаселення в Україні шукає постачальника послуг із перевіреним досвідом у соціальних медіа, комунікаціях, особливо, у соціальній сфері, а також із хорошим знанням українського медіа та рекламних ринків.</w:t>
      </w:r>
    </w:p>
    <w:p w:rsidR="00212EFE" w:rsidRDefault="00574C22">
      <w:pPr>
        <w:spacing w:line="256" w:lineRule="auto"/>
        <w:jc w:val="both"/>
      </w:pPr>
      <w:r>
        <w:t xml:space="preserve"> </w:t>
      </w:r>
      <w:r>
        <w:t>Постачальник послуг повинен:</w:t>
      </w:r>
    </w:p>
    <w:p w:rsidR="00212EFE" w:rsidRDefault="00574C22">
      <w:pPr>
        <w:numPr>
          <w:ilvl w:val="0"/>
          <w:numId w:val="5"/>
        </w:numPr>
        <w:spacing w:after="0" w:line="256" w:lineRule="auto"/>
        <w:jc w:val="both"/>
      </w:pPr>
      <w:r>
        <w:rPr>
          <w:color w:val="000000"/>
        </w:rPr>
        <w:t>бути резидентом  або мати юридичне представництво в Україні з відповідною офіційною реєстрацією (включно із реєстрацією як фізична особа-підприємець);</w:t>
      </w:r>
    </w:p>
    <w:p w:rsidR="00212EFE" w:rsidRDefault="00574C22">
      <w:pPr>
        <w:numPr>
          <w:ilvl w:val="0"/>
          <w:numId w:val="5"/>
        </w:numPr>
        <w:spacing w:after="0" w:line="256" w:lineRule="auto"/>
        <w:jc w:val="both"/>
      </w:pPr>
      <w:r>
        <w:rPr>
          <w:color w:val="000000"/>
        </w:rPr>
        <w:t>працювати в сфері SMM/комунікацій не менше 2 років і мати можливість підтвер</w:t>
      </w:r>
      <w:r>
        <w:rPr>
          <w:color w:val="000000"/>
        </w:rPr>
        <w:t>дити відповідний досвід документально (документи про реєстрацію ФОП з відповідними КВЕДами, відмітки у трудовій книжці, рекомендаційні листи з попередніх робіт тощо);</w:t>
      </w:r>
    </w:p>
    <w:p w:rsidR="00212EFE" w:rsidRDefault="00574C22">
      <w:pPr>
        <w:numPr>
          <w:ilvl w:val="0"/>
          <w:numId w:val="5"/>
        </w:numPr>
        <w:spacing w:after="0" w:line="256" w:lineRule="auto"/>
        <w:jc w:val="both"/>
      </w:pPr>
      <w:r>
        <w:rPr>
          <w:color w:val="000000"/>
        </w:rPr>
        <w:t>попередній досвід співпраці з агентством ООН або іншою міжнародною організацією буде пере</w:t>
      </w:r>
      <w:r>
        <w:rPr>
          <w:color w:val="000000"/>
        </w:rPr>
        <w:t>вагою;</w:t>
      </w:r>
    </w:p>
    <w:p w:rsidR="00212EFE" w:rsidRDefault="00574C22">
      <w:pPr>
        <w:numPr>
          <w:ilvl w:val="0"/>
          <w:numId w:val="5"/>
        </w:numPr>
        <w:spacing w:after="0" w:line="256" w:lineRule="auto"/>
        <w:jc w:val="both"/>
      </w:pPr>
      <w:r>
        <w:rPr>
          <w:color w:val="000000"/>
        </w:rPr>
        <w:t>демонструвати здатність дотримуватися часових рамок, працювати під тиском та вміти ефективно вимірювати результати;</w:t>
      </w:r>
    </w:p>
    <w:p w:rsidR="00212EFE" w:rsidRDefault="00574C22">
      <w:pPr>
        <w:numPr>
          <w:ilvl w:val="0"/>
          <w:numId w:val="5"/>
        </w:numPr>
        <w:spacing w:after="0" w:line="256" w:lineRule="auto"/>
        <w:jc w:val="both"/>
      </w:pPr>
      <w:r>
        <w:rPr>
          <w:color w:val="000000"/>
        </w:rPr>
        <w:t>мати високий рівень володіння українською мовою (особливо письмово) та володіти англійською мовою.</w:t>
      </w:r>
    </w:p>
    <w:p w:rsidR="00212EFE" w:rsidRDefault="00212EFE">
      <w:pPr>
        <w:spacing w:after="0"/>
        <w:jc w:val="both"/>
        <w:rPr>
          <w:b/>
        </w:rPr>
      </w:pPr>
    </w:p>
    <w:p w:rsidR="00212EFE" w:rsidRDefault="00574C22">
      <w:pPr>
        <w:spacing w:after="0"/>
        <w:jc w:val="both"/>
        <w:rPr>
          <w:b/>
        </w:rPr>
      </w:pPr>
      <w:r>
        <w:rPr>
          <w:b/>
        </w:rPr>
        <w:t xml:space="preserve">Питання </w:t>
      </w:r>
    </w:p>
    <w:p w:rsidR="00212EFE" w:rsidRDefault="00574C22">
      <w:pPr>
        <w:jc w:val="both"/>
      </w:pPr>
      <w:r>
        <w:t>Питання або запити на до</w:t>
      </w:r>
      <w:r>
        <w:t xml:space="preserve">даткові роз'яснення можна задати під час організаційної зустрічі, яка відбудеться </w:t>
      </w:r>
      <w:r>
        <w:rPr>
          <w:b/>
        </w:rPr>
        <w:t>20 липня 2023 року о 15.00</w:t>
      </w:r>
      <w:r>
        <w:t xml:space="preserve"> через конференцію Google Meet (посилання на засідання конференції буде надано пізніше).</w:t>
      </w:r>
    </w:p>
    <w:p w:rsidR="00212EFE" w:rsidRDefault="00574C22">
      <w:pPr>
        <w:jc w:val="both"/>
      </w:pPr>
      <w:r>
        <w:t>У разі вашої участі в організаційній зустрічі ми просимо на</w:t>
      </w:r>
      <w:r>
        <w:t xml:space="preserve">діслати підтвердження з такою інформацією:  назва компанії, список представників компанії, які планують бути присутніми, зазначити їх електронну пошту, контактній особі UNFPA до </w:t>
      </w:r>
      <w:r>
        <w:rPr>
          <w:b/>
        </w:rPr>
        <w:t>10:00 за київським часом, 19 липня 2023 року</w:t>
      </w:r>
      <w:r>
        <w:t>.</w:t>
      </w:r>
    </w:p>
    <w:tbl>
      <w:tblPr>
        <w:tblStyle w:val="Style49"/>
        <w:tblW w:w="69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  <w:gridCol w:w="3431"/>
      </w:tblGrid>
      <w:tr w:rsidR="00212EFE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EFE" w:rsidRDefault="00574C2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lastRenderedPageBreak/>
              <w:t>Контактна особа: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EFE" w:rsidRDefault="00574C2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  <w:color w:val="222222"/>
                <w:highlight w:val="white"/>
              </w:rPr>
              <w:t xml:space="preserve">Valentyn </w:t>
            </w:r>
            <w:r>
              <w:rPr>
                <w:i/>
                <w:color w:val="222222"/>
                <w:highlight w:val="white"/>
              </w:rPr>
              <w:t>Puhachov </w:t>
            </w:r>
          </w:p>
        </w:tc>
      </w:tr>
      <w:tr w:rsidR="00212EFE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EFE" w:rsidRDefault="00574C2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t>Електронна адреса: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EFE" w:rsidRDefault="00574C22">
            <w:pPr>
              <w:spacing w:after="0"/>
              <w:rPr>
                <w:i/>
              </w:rPr>
            </w:pPr>
            <w:hyperlink r:id="rId25">
              <w:r>
                <w:rPr>
                  <w:i/>
                  <w:color w:val="1155CC"/>
                  <w:u w:val="single"/>
                </w:rPr>
                <w:t>puhachov@unfpa.org</w:t>
              </w:r>
            </w:hyperlink>
          </w:p>
        </w:tc>
      </w:tr>
    </w:tbl>
    <w:p w:rsidR="00212EFE" w:rsidRDefault="00212EFE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212EFE" w:rsidRDefault="00574C22">
      <w:pPr>
        <w:tabs>
          <w:tab w:val="left" w:pos="6630"/>
          <w:tab w:val="left" w:pos="9120"/>
        </w:tabs>
        <w:spacing w:after="0" w:line="240" w:lineRule="auto"/>
        <w:jc w:val="both"/>
      </w:pPr>
      <w:r>
        <w:t>Якщо ви не можете взяти участь у дискусії, надішліть свої запитання та запити контактній особі UNFPA (див. контакти у таблиці вище).</w:t>
      </w:r>
    </w:p>
    <w:p w:rsidR="00212EFE" w:rsidRDefault="00574C22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 </w:t>
      </w:r>
    </w:p>
    <w:p w:rsidR="00212EFE" w:rsidRDefault="00574C22">
      <w:pPr>
        <w:tabs>
          <w:tab w:val="left" w:pos="6630"/>
          <w:tab w:val="left" w:pos="9120"/>
        </w:tabs>
        <w:spacing w:after="0" w:line="240" w:lineRule="auto"/>
        <w:jc w:val="both"/>
      </w:pPr>
      <w:r>
        <w:t>На питання буде надіслано</w:t>
      </w:r>
      <w:r>
        <w:t xml:space="preserve"> відповідь в письмовій формі. Відповіді будуть розіслані серед усіх зацікавлених сторін якнайшвидше.</w:t>
      </w:r>
    </w:p>
    <w:p w:rsidR="00212EFE" w:rsidRDefault="00212EFE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212EFE" w:rsidRDefault="00574C2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>Кінцевий термін подання питань -</w:t>
      </w:r>
      <w:r>
        <w:rPr>
          <w:highlight w:val="white"/>
        </w:rPr>
        <w:t xml:space="preserve"> </w:t>
      </w:r>
      <w:r>
        <w:rPr>
          <w:b/>
        </w:rPr>
        <w:t>21 липня, 2023, 10:00 за київським часом.</w:t>
      </w:r>
    </w:p>
    <w:p w:rsidR="00212EFE" w:rsidRDefault="00574C22">
      <w:pPr>
        <w:pStyle w:val="Heading3"/>
        <w:keepNext w:val="0"/>
        <w:keepLines w:val="0"/>
        <w:spacing w:line="276" w:lineRule="auto"/>
        <w:jc w:val="both"/>
        <w:rPr>
          <w:sz w:val="22"/>
          <w:szCs w:val="22"/>
        </w:rPr>
      </w:pPr>
      <w:bookmarkStart w:id="4" w:name="_heading=h.xdw7b9l6ax9j" w:colFirst="0" w:colLast="0"/>
      <w:bookmarkEnd w:id="4"/>
      <w:r>
        <w:rPr>
          <w:sz w:val="22"/>
          <w:szCs w:val="22"/>
        </w:rPr>
        <w:t>III. Зміст пропозицій</w:t>
      </w:r>
    </w:p>
    <w:p w:rsidR="00212EFE" w:rsidRDefault="00574C22">
      <w:pPr>
        <w:spacing w:after="0" w:line="256" w:lineRule="auto"/>
        <w:jc w:val="both"/>
      </w:pPr>
      <w:r>
        <w:t xml:space="preserve">Пропозиції мають надсилатися електронною поштою, за можливістю, одним повідомленням, залежно від розміру файлу та мають вміщувати: </w:t>
      </w:r>
    </w:p>
    <w:p w:rsidR="00212EFE" w:rsidRDefault="00574C22">
      <w:pPr>
        <w:spacing w:after="0" w:line="256" w:lineRule="auto"/>
        <w:jc w:val="both"/>
      </w:pPr>
      <w:r>
        <w:t xml:space="preserve"> </w:t>
      </w:r>
    </w:p>
    <w:p w:rsidR="00212EFE" w:rsidRDefault="00574C22">
      <w:pPr>
        <w:spacing w:after="0" w:line="256" w:lineRule="auto"/>
        <w:jc w:val="both"/>
        <w:rPr>
          <w:b/>
        </w:rPr>
      </w:pPr>
      <w:r>
        <w:rPr>
          <w:b/>
        </w:rPr>
        <w:t>1.Технічну пропозицію, що повинна містити презентацію, яка дозволить оцінити підхід спеціаліста (-ки) / агентства за крите</w:t>
      </w:r>
      <w:r>
        <w:rPr>
          <w:b/>
        </w:rPr>
        <w:t>ріями, що подані нижче.</w:t>
      </w:r>
    </w:p>
    <w:p w:rsidR="00212EFE" w:rsidRDefault="00574C22">
      <w:pPr>
        <w:spacing w:after="0" w:line="256" w:lineRule="auto"/>
        <w:jc w:val="both"/>
      </w:pPr>
      <w:r>
        <w:t>Зокрема, презентація має містити:</w:t>
      </w:r>
    </w:p>
    <w:p w:rsidR="00212EFE" w:rsidRDefault="00574C22">
      <w:pPr>
        <w:numPr>
          <w:ilvl w:val="0"/>
          <w:numId w:val="6"/>
        </w:numPr>
        <w:spacing w:after="0" w:line="256" w:lineRule="auto"/>
        <w:jc w:val="both"/>
      </w:pPr>
      <w:r>
        <w:t>3 приклади текстів постів для Instagram-сторінки «ВОНА хаб» та приклад віжуалів, 2 приклади сторіз, 1 з яких має бути у форматі рілз;</w:t>
      </w:r>
    </w:p>
    <w:p w:rsidR="00212EFE" w:rsidRDefault="00574C22">
      <w:pPr>
        <w:numPr>
          <w:ilvl w:val="0"/>
          <w:numId w:val="6"/>
        </w:numPr>
        <w:spacing w:after="0" w:line="256" w:lineRule="auto"/>
        <w:jc w:val="both"/>
      </w:pPr>
      <w:r>
        <w:t>короткий опис пропонованої рекламної стратегії для досягнення ці</w:t>
      </w:r>
      <w:r>
        <w:t>лей Instagram-сторінки «ВОНА хаб» та однієї із восьми Facebook-cторінок офлайн-хабів;</w:t>
      </w:r>
    </w:p>
    <w:p w:rsidR="00212EFE" w:rsidRDefault="00574C22">
      <w:pPr>
        <w:numPr>
          <w:ilvl w:val="0"/>
          <w:numId w:val="6"/>
        </w:numPr>
        <w:spacing w:after="0" w:line="256" w:lineRule="auto"/>
        <w:jc w:val="both"/>
      </w:pPr>
      <w:r>
        <w:t>опис досвіду спеціаліста (-ки) / команди через мінімум 2 успішні кейси;</w:t>
      </w:r>
    </w:p>
    <w:p w:rsidR="00212EFE" w:rsidRDefault="00574C22">
      <w:pPr>
        <w:numPr>
          <w:ilvl w:val="0"/>
          <w:numId w:val="6"/>
        </w:numPr>
        <w:spacing w:after="0" w:line="256" w:lineRule="auto"/>
        <w:jc w:val="both"/>
      </w:pPr>
      <w:r>
        <w:t>загальне знайомство із спеціалістом (-кою) / командою та відомості про те, чи є досвід роботи із і</w:t>
      </w:r>
      <w:r>
        <w:t>ншими міжнародними організаціями.</w:t>
      </w:r>
    </w:p>
    <w:p w:rsidR="00212EFE" w:rsidRDefault="00574C22">
      <w:pPr>
        <w:spacing w:after="0" w:line="256" w:lineRule="auto"/>
        <w:jc w:val="both"/>
      </w:pPr>
      <w:r>
        <w:t xml:space="preserve"> </w:t>
      </w:r>
    </w:p>
    <w:p w:rsidR="00212EFE" w:rsidRDefault="00574C22">
      <w:pPr>
        <w:spacing w:after="0" w:line="256" w:lineRule="auto"/>
        <w:jc w:val="both"/>
      </w:pPr>
      <w:r>
        <w:t>Технічна пропозиція має бути подана в електронному вигляді на пошту, вказану у розділі IV.</w:t>
      </w:r>
    </w:p>
    <w:p w:rsidR="00212EFE" w:rsidRDefault="00574C22">
      <w:pPr>
        <w:spacing w:after="0" w:line="256" w:lineRule="auto"/>
        <w:jc w:val="both"/>
      </w:pPr>
      <w:r>
        <w:t xml:space="preserve"> </w:t>
      </w:r>
    </w:p>
    <w:p w:rsidR="00212EFE" w:rsidRDefault="00574C22">
      <w:pPr>
        <w:spacing w:after="0" w:line="256" w:lineRule="auto"/>
        <w:jc w:val="both"/>
        <w:rPr>
          <w:b/>
        </w:rPr>
      </w:pPr>
      <w:r>
        <w:rPr>
          <w:b/>
        </w:rPr>
        <w:t>2. Подану виключно згідно з відповідним бланком цінову пропозицію.</w:t>
      </w:r>
    </w:p>
    <w:p w:rsidR="00212EFE" w:rsidRDefault="00212EFE">
      <w:pPr>
        <w:spacing w:after="0" w:line="256" w:lineRule="auto"/>
        <w:jc w:val="both"/>
      </w:pPr>
    </w:p>
    <w:p w:rsidR="00212EFE" w:rsidRDefault="00574C22">
      <w:pPr>
        <w:spacing w:after="0" w:line="256" w:lineRule="auto"/>
        <w:jc w:val="both"/>
      </w:pPr>
      <w:r>
        <w:t>Мова пропозиції англійська або українська.</w:t>
      </w:r>
    </w:p>
    <w:p w:rsidR="00212EFE" w:rsidRDefault="00574C22">
      <w:pPr>
        <w:spacing w:after="0" w:line="256" w:lineRule="auto"/>
        <w:jc w:val="both"/>
      </w:pPr>
      <w:r>
        <w:t>Надішліть свою ц</w:t>
      </w:r>
      <w:r>
        <w:t xml:space="preserve">інову пропозицію </w:t>
      </w:r>
      <w:r>
        <w:rPr>
          <w:b/>
        </w:rPr>
        <w:t>в доларах США</w:t>
      </w:r>
      <w:r>
        <w:t xml:space="preserve"> відповідно до операційного обмінного курсу ООН, що діє на дату подачі пропозицій на сайті https://treasury.un.org/operationalrates/OperationalRates.php</w:t>
      </w:r>
    </w:p>
    <w:p w:rsidR="00212EFE" w:rsidRDefault="00212EFE">
      <w:pPr>
        <w:spacing w:after="0" w:line="256" w:lineRule="auto"/>
        <w:jc w:val="both"/>
      </w:pPr>
    </w:p>
    <w:p w:rsidR="00212EFE" w:rsidRDefault="00574C22">
      <w:pPr>
        <w:spacing w:after="0" w:line="256" w:lineRule="auto"/>
        <w:jc w:val="both"/>
        <w:rPr>
          <w:b/>
        </w:rPr>
      </w:pPr>
      <w:r>
        <w:rPr>
          <w:b/>
        </w:rPr>
        <w:t xml:space="preserve">Технічна та цінова пропозиція мають бути надіслані </w:t>
      </w:r>
      <w:r>
        <w:rPr>
          <w:b/>
          <w:u w:val="single"/>
        </w:rPr>
        <w:t>окремими файлами</w:t>
      </w:r>
      <w:r>
        <w:t xml:space="preserve"> </w:t>
      </w:r>
      <w:r>
        <w:rPr>
          <w:b/>
        </w:rPr>
        <w:t>та б</w:t>
      </w:r>
      <w:r>
        <w:rPr>
          <w:b/>
        </w:rPr>
        <w:t>ути підписані відповідним керівником компанії та надіслані у форматі PDF.</w:t>
      </w:r>
    </w:p>
    <w:p w:rsidR="00212EFE" w:rsidRDefault="00212EFE">
      <w:pPr>
        <w:spacing w:after="0"/>
      </w:pPr>
    </w:p>
    <w:p w:rsidR="00212EFE" w:rsidRDefault="00574C22">
      <w:pPr>
        <w:rPr>
          <w:b/>
        </w:rPr>
      </w:pPr>
      <w:r>
        <w:rPr>
          <w:b/>
        </w:rPr>
        <w:t>IV. Інструкції для подання</w:t>
      </w:r>
    </w:p>
    <w:p w:rsidR="00212EFE" w:rsidRDefault="00574C2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  <w:u w:val="single"/>
        </w:rPr>
      </w:pPr>
      <w:r>
        <w:rPr>
          <w:color w:val="000000"/>
        </w:rPr>
        <w:t>Пропозиції мають бути підготовлені згідно з Розділом III і IV разом з відповідно заповненим і підписаним бланком цінової пропозиції, надіслані до контактн</w:t>
      </w:r>
      <w:r>
        <w:rPr>
          <w:color w:val="000000"/>
        </w:rPr>
        <w:t>ої особи тільки на вказану електронну пошту не пізніше ніж</w:t>
      </w:r>
      <w:r>
        <w:rPr>
          <w:b/>
          <w:color w:val="000000"/>
        </w:rPr>
        <w:t xml:space="preserve"> п’ятниця, </w:t>
      </w:r>
      <w:r>
        <w:rPr>
          <w:b/>
        </w:rPr>
        <w:t>28 липня 2023</w:t>
      </w:r>
      <w:r>
        <w:rPr>
          <w:b/>
          <w:color w:val="000000"/>
        </w:rPr>
        <w:t>, 1</w:t>
      </w:r>
      <w:r>
        <w:rPr>
          <w:b/>
        </w:rPr>
        <w:t>4</w:t>
      </w:r>
      <w:r>
        <w:rPr>
          <w:b/>
          <w:color w:val="000000"/>
        </w:rPr>
        <w:t xml:space="preserve">:00 за київським часом. </w:t>
      </w:r>
      <w:r>
        <w:rPr>
          <w:b/>
          <w:color w:val="000000"/>
          <w:u w:val="single"/>
        </w:rPr>
        <w:t>Пропозиції</w:t>
      </w:r>
      <w:r>
        <w:rPr>
          <w:b/>
          <w:u w:val="single"/>
        </w:rPr>
        <w:t>,</w:t>
      </w:r>
      <w:r>
        <w:rPr>
          <w:b/>
          <w:color w:val="000000"/>
          <w:u w:val="single"/>
        </w:rPr>
        <w:t xml:space="preserve"> надіслані на будь-яку іншу електронну пошту</w:t>
      </w:r>
      <w:r>
        <w:rPr>
          <w:b/>
          <w:u w:val="single"/>
        </w:rPr>
        <w:t>,</w:t>
      </w:r>
      <w:r>
        <w:rPr>
          <w:b/>
          <w:color w:val="000000"/>
          <w:u w:val="single"/>
        </w:rPr>
        <w:t xml:space="preserve"> не будуть прийняті до розгляду.</w:t>
      </w:r>
    </w:p>
    <w:p w:rsidR="00212EFE" w:rsidRDefault="00212EFE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tbl>
      <w:tblPr>
        <w:tblStyle w:val="Style50"/>
        <w:tblW w:w="8522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012"/>
      </w:tblGrid>
      <w:tr w:rsidR="00212EF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12EFE" w:rsidRDefault="00574C2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Контактна особа:</w:t>
            </w:r>
          </w:p>
        </w:tc>
        <w:tc>
          <w:tcPr>
            <w:tcW w:w="5012" w:type="dxa"/>
            <w:shd w:val="clear" w:color="auto" w:fill="auto"/>
          </w:tcPr>
          <w:p w:rsidR="00212EFE" w:rsidRDefault="00574C22">
            <w:r>
              <w:rPr>
                <w:i/>
              </w:rPr>
              <w:t>Ірина Богун</w:t>
            </w:r>
          </w:p>
        </w:tc>
      </w:tr>
      <w:tr w:rsidR="00212EF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12EFE" w:rsidRDefault="00574C2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Електронна адреса:</w:t>
            </w:r>
          </w:p>
        </w:tc>
        <w:tc>
          <w:tcPr>
            <w:tcW w:w="5012" w:type="dxa"/>
            <w:shd w:val="clear" w:color="auto" w:fill="auto"/>
          </w:tcPr>
          <w:p w:rsidR="00212EFE" w:rsidRDefault="00574C22">
            <w:pPr>
              <w:rPr>
                <w:b/>
              </w:rPr>
            </w:pPr>
            <w:r>
              <w:rPr>
                <w:b/>
              </w:rPr>
              <w:t>ua-procurement@unfpa.org</w:t>
            </w:r>
          </w:p>
        </w:tc>
      </w:tr>
    </w:tbl>
    <w:p w:rsidR="00212EFE" w:rsidRDefault="00212EFE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212EFE" w:rsidRDefault="00574C2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Зверніть увагу на наступні інструкції щодо електронного подання:</w:t>
      </w:r>
    </w:p>
    <w:p w:rsidR="00212EFE" w:rsidRDefault="00212EFE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212EFE" w:rsidRDefault="00574C22">
      <w:pPr>
        <w:numPr>
          <w:ilvl w:val="0"/>
          <w:numId w:val="7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>
        <w:rPr>
          <w:b/>
          <w:color w:val="000000"/>
        </w:rPr>
        <w:t>RFQ Nº UNFPA/UKR/RFQ/23/27</w:t>
      </w:r>
    </w:p>
    <w:p w:rsidR="00212EFE" w:rsidRDefault="00212EFE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212EFE" w:rsidRDefault="00574C22">
      <w:pPr>
        <w:numPr>
          <w:ilvl w:val="0"/>
          <w:numId w:val="8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Пропозиції, що містять невірно вказану тему повідомлення можуть бути пропущені </w:t>
      </w:r>
      <w:r>
        <w:rPr>
          <w:color w:val="000000"/>
        </w:rPr>
        <w:t>адміністратором та, таким чином, не потрапити до розгляду.</w:t>
      </w:r>
    </w:p>
    <w:p w:rsidR="00212EFE" w:rsidRDefault="00212EFE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212EFE" w:rsidRDefault="00574C22">
      <w:pPr>
        <w:numPr>
          <w:ilvl w:val="0"/>
          <w:numId w:val="8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Загальний обсяг повідомлення, що надсилається не має перевищувати </w:t>
      </w:r>
      <w:r>
        <w:rPr>
          <w:b/>
          <w:color w:val="000000"/>
        </w:rPr>
        <w:t>20 MB (у тому числі, сам лист, надані додатки та заголовки)</w:t>
      </w:r>
      <w:r>
        <w:rPr>
          <w:color w:val="000000"/>
        </w:rPr>
        <w:t>. При великих розмірах файлу з технічним описом, останні мають надсилат</w:t>
      </w:r>
      <w:r>
        <w:rPr>
          <w:color w:val="000000"/>
        </w:rPr>
        <w:t>ися окремо до кінцевого строку подання пропозицій.</w:t>
      </w:r>
    </w:p>
    <w:p w:rsidR="00212EFE" w:rsidRDefault="00212EFE">
      <w:pPr>
        <w:spacing w:after="0" w:line="240" w:lineRule="auto"/>
        <w:jc w:val="both"/>
        <w:rPr>
          <w:b/>
        </w:rPr>
      </w:pPr>
    </w:p>
    <w:p w:rsidR="00212EFE" w:rsidRDefault="00574C22">
      <w:pPr>
        <w:pStyle w:val="Heading3"/>
        <w:keepNext w:val="0"/>
        <w:keepLines w:val="0"/>
        <w:spacing w:after="0" w:line="276" w:lineRule="auto"/>
        <w:jc w:val="both"/>
        <w:rPr>
          <w:sz w:val="22"/>
          <w:szCs w:val="22"/>
        </w:rPr>
      </w:pPr>
      <w:bookmarkStart w:id="5" w:name="_heading=h.9cjj4bfbt3sa" w:colFirst="0" w:colLast="0"/>
      <w:bookmarkEnd w:id="5"/>
      <w:r>
        <w:rPr>
          <w:sz w:val="22"/>
          <w:szCs w:val="22"/>
        </w:rPr>
        <w:t>V. Оцінка пропозицій</w:t>
      </w:r>
    </w:p>
    <w:p w:rsidR="00212EFE" w:rsidRDefault="00574C22">
      <w:pPr>
        <w:spacing w:after="0" w:line="276" w:lineRule="auto"/>
        <w:jc w:val="both"/>
      </w:pPr>
      <w:r>
        <w:t>Спеціалізована оціночна комісія проводитиме оцінку пропозицій у два етапи: технічні пропозиції будуть розглянуті на відповідність вимогам та порівняння цінових пропозицій.</w:t>
      </w:r>
    </w:p>
    <w:p w:rsidR="00212EFE" w:rsidRDefault="00574C22">
      <w:pPr>
        <w:spacing w:after="0" w:line="276" w:lineRule="auto"/>
        <w:jc w:val="both"/>
      </w:pPr>
      <w:r>
        <w:t xml:space="preserve"> </w:t>
      </w:r>
    </w:p>
    <w:p w:rsidR="00212EFE" w:rsidRDefault="00574C22">
      <w:pPr>
        <w:spacing w:line="256" w:lineRule="auto"/>
        <w:jc w:val="both"/>
      </w:pPr>
      <w:r>
        <w:t xml:space="preserve">Технічна </w:t>
      </w:r>
      <w:r>
        <w:t>оцінка (максимально 100 балів)</w:t>
      </w:r>
    </w:p>
    <w:p w:rsidR="00212EFE" w:rsidRDefault="00574C22">
      <w:pPr>
        <w:spacing w:after="0" w:line="276" w:lineRule="auto"/>
        <w:jc w:val="both"/>
      </w:pPr>
      <w:r>
        <w:t>Технічні пропозиції будуть оцінені згідно з умовами, вказаними в розділі про вимоги до надання послуг/ Розділ II Технічного завдання, та відповідно до критеріїв оцінки, що подані нижче.</w:t>
      </w:r>
    </w:p>
    <w:p w:rsidR="00212EFE" w:rsidRDefault="00574C22">
      <w:pPr>
        <w:spacing w:after="0" w:line="276" w:lineRule="auto"/>
        <w:jc w:val="both"/>
      </w:pPr>
      <w:r>
        <w:t xml:space="preserve"> </w:t>
      </w:r>
    </w:p>
    <w:tbl>
      <w:tblPr>
        <w:tblStyle w:val="Style51"/>
        <w:tblW w:w="961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1725"/>
        <w:gridCol w:w="1425"/>
        <w:gridCol w:w="1110"/>
        <w:gridCol w:w="2310"/>
      </w:tblGrid>
      <w:tr w:rsidR="00212EFE">
        <w:trPr>
          <w:trHeight w:val="1080"/>
        </w:trPr>
        <w:tc>
          <w:tcPr>
            <w:tcW w:w="30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Критерії</w:t>
            </w:r>
          </w:p>
        </w:tc>
        <w:tc>
          <w:tcPr>
            <w:tcW w:w="172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[A] Максимальна кількість </w:t>
            </w:r>
            <w:r>
              <w:rPr>
                <w:color w:val="FFFFFF"/>
              </w:rPr>
              <w:t>балів</w:t>
            </w:r>
          </w:p>
        </w:tc>
        <w:tc>
          <w:tcPr>
            <w:tcW w:w="142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:rsidR="00212EFE" w:rsidRDefault="00574C22">
            <w:pPr>
              <w:spacing w:before="60" w:after="60"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111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:rsidR="00212EFE" w:rsidRDefault="00574C22">
            <w:pPr>
              <w:spacing w:before="60" w:after="60"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Вага (%)</w:t>
            </w:r>
          </w:p>
        </w:tc>
        <w:tc>
          <w:tcPr>
            <w:tcW w:w="231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:rsidR="00212EFE" w:rsidRDefault="00574C22">
            <w:pPr>
              <w:spacing w:before="60" w:after="60"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Загальна кількість балів</w:t>
            </w:r>
          </w:p>
        </w:tc>
      </w:tr>
      <w:tr w:rsidR="00212EFE">
        <w:trPr>
          <w:trHeight w:val="2220"/>
        </w:trPr>
        <w:tc>
          <w:tcPr>
            <w:tcW w:w="304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78" w:lineRule="auto"/>
              <w:jc w:val="both"/>
            </w:pPr>
            <w:r>
              <w:t xml:space="preserve">Якість та інноваційність запропонованих прикладів публікацій, релевантність пропозицій до тематики і ЦА сторінок (включаючи надані тексти, теми, відео та запропоновані </w:t>
            </w:r>
            <w:r>
              <w:t>ілюстрації)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both"/>
            </w:pPr>
            <w: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50%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 xml:space="preserve"> </w:t>
            </w:r>
          </w:p>
        </w:tc>
      </w:tr>
      <w:tr w:rsidR="00212EFE">
        <w:trPr>
          <w:trHeight w:val="1965"/>
        </w:trPr>
        <w:tc>
          <w:tcPr>
            <w:tcW w:w="304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78" w:lineRule="auto"/>
              <w:jc w:val="both"/>
            </w:pPr>
            <w:r>
              <w:t>Успішний досвід спеціаліста/-ки або команди у веденні сторінок соціального спрямування в соціальних мережах (оцінка описаних кейсів)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both"/>
            </w:pPr>
            <w: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25%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 xml:space="preserve"> </w:t>
            </w:r>
          </w:p>
        </w:tc>
      </w:tr>
      <w:tr w:rsidR="00212EFE">
        <w:trPr>
          <w:trHeight w:val="945"/>
        </w:trPr>
        <w:tc>
          <w:tcPr>
            <w:tcW w:w="304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78" w:lineRule="auto"/>
              <w:jc w:val="both"/>
            </w:pPr>
            <w:r>
              <w:t>Відповідність рекламної стратегії для досягнення цілей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both"/>
            </w:pPr>
            <w: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15%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 xml:space="preserve"> </w:t>
            </w:r>
          </w:p>
        </w:tc>
      </w:tr>
      <w:tr w:rsidR="00212EFE">
        <w:trPr>
          <w:trHeight w:val="1965"/>
        </w:trPr>
        <w:tc>
          <w:tcPr>
            <w:tcW w:w="304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78" w:lineRule="auto"/>
              <w:jc w:val="both"/>
            </w:pPr>
            <w:r>
              <w:t>Якість підготовки</w:t>
            </w:r>
            <w:r>
              <w:t xml:space="preserve"> матеріалів поданої на конкурс пропозиції (клікабельність і доступ до посилань, відсутність орфографічних помилок і т.п.)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both"/>
            </w:pPr>
            <w: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5%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 xml:space="preserve"> </w:t>
            </w:r>
          </w:p>
        </w:tc>
      </w:tr>
      <w:tr w:rsidR="00212EFE">
        <w:trPr>
          <w:trHeight w:val="945"/>
        </w:trPr>
        <w:tc>
          <w:tcPr>
            <w:tcW w:w="304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78" w:lineRule="auto"/>
              <w:jc w:val="both"/>
            </w:pPr>
            <w:r>
              <w:lastRenderedPageBreak/>
              <w:t>Підтверджений досвід роботи із міжнародними організаціями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both"/>
            </w:pPr>
            <w: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5%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 xml:space="preserve"> </w:t>
            </w:r>
          </w:p>
        </w:tc>
      </w:tr>
      <w:tr w:rsidR="00212EFE">
        <w:trPr>
          <w:trHeight w:val="375"/>
        </w:trPr>
        <w:tc>
          <w:tcPr>
            <w:tcW w:w="304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right"/>
              <w:rPr>
                <w:i/>
              </w:rPr>
            </w:pPr>
            <w:r>
              <w:rPr>
                <w:i/>
              </w:rPr>
              <w:t>Загальна сума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0C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0C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both"/>
            </w:pPr>
            <w: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0C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>100%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0C0C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before="60" w:after="60" w:line="256" w:lineRule="auto"/>
              <w:jc w:val="center"/>
            </w:pPr>
            <w:r>
              <w:t xml:space="preserve"> </w:t>
            </w:r>
          </w:p>
        </w:tc>
      </w:tr>
    </w:tbl>
    <w:p w:rsidR="00212EFE" w:rsidRDefault="00574C22">
      <w:pPr>
        <w:spacing w:after="0" w:line="276" w:lineRule="auto"/>
        <w:jc w:val="both"/>
      </w:pPr>
      <w:r>
        <w:t xml:space="preserve"> </w:t>
      </w:r>
    </w:p>
    <w:p w:rsidR="00212EFE" w:rsidRDefault="00574C22">
      <w:pPr>
        <w:spacing w:after="0" w:line="276" w:lineRule="auto"/>
        <w:jc w:val="both"/>
      </w:pPr>
      <w:r>
        <w:t xml:space="preserve"> Наступна шкала оцінювання буде використана для забезпечення об'єктивної оцінки:</w:t>
      </w:r>
    </w:p>
    <w:tbl>
      <w:tblPr>
        <w:tblStyle w:val="Style52"/>
        <w:tblW w:w="8535" w:type="dxa"/>
        <w:jc w:val="center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0"/>
        <w:gridCol w:w="2175"/>
      </w:tblGrid>
      <w:tr w:rsidR="00212EFE">
        <w:trPr>
          <w:trHeight w:val="645"/>
          <w:jc w:val="center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>Рівень, який відповідає вимогам Технічного завдання, що базується на фактичних даних, включених в пропозицію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Бали зі 100</w:t>
            </w:r>
          </w:p>
        </w:tc>
      </w:tr>
      <w:tr w:rsidR="00212EFE">
        <w:trPr>
          <w:trHeight w:val="435"/>
          <w:jc w:val="center"/>
        </w:trPr>
        <w:tc>
          <w:tcPr>
            <w:tcW w:w="6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both"/>
            </w:pPr>
            <w:r>
              <w:t>Значно перевищує вимоги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center"/>
            </w:pPr>
            <w:r>
              <w:t>90 – 100</w:t>
            </w:r>
          </w:p>
        </w:tc>
      </w:tr>
      <w:tr w:rsidR="00212EFE">
        <w:trPr>
          <w:trHeight w:val="420"/>
          <w:jc w:val="center"/>
        </w:trPr>
        <w:tc>
          <w:tcPr>
            <w:tcW w:w="6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both"/>
            </w:pPr>
            <w:r>
              <w:t>Перевищує вимоги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center"/>
            </w:pPr>
            <w:r>
              <w:t>80</w:t>
            </w:r>
            <w:r>
              <w:t xml:space="preserve"> – 89</w:t>
            </w:r>
          </w:p>
        </w:tc>
      </w:tr>
      <w:tr w:rsidR="00212EFE">
        <w:trPr>
          <w:trHeight w:val="420"/>
          <w:jc w:val="center"/>
        </w:trPr>
        <w:tc>
          <w:tcPr>
            <w:tcW w:w="6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both"/>
            </w:pPr>
            <w:r>
              <w:t>Відповідає вимогам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center"/>
            </w:pPr>
            <w:r>
              <w:t>70 – 79</w:t>
            </w:r>
          </w:p>
        </w:tc>
      </w:tr>
      <w:tr w:rsidR="00212EFE">
        <w:trPr>
          <w:trHeight w:val="420"/>
          <w:jc w:val="center"/>
        </w:trPr>
        <w:tc>
          <w:tcPr>
            <w:tcW w:w="6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both"/>
            </w:pPr>
            <w:r>
              <w:t>Не відповідає вимогам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line="256" w:lineRule="auto"/>
              <w:jc w:val="center"/>
            </w:pPr>
            <w:r>
              <w:t>до 70</w:t>
            </w:r>
          </w:p>
        </w:tc>
      </w:tr>
    </w:tbl>
    <w:p w:rsidR="00212EFE" w:rsidRDefault="00574C22">
      <w:pPr>
        <w:spacing w:after="0" w:line="276" w:lineRule="auto"/>
        <w:jc w:val="both"/>
      </w:pPr>
      <w:r>
        <w:t xml:space="preserve"> </w:t>
      </w:r>
    </w:p>
    <w:p w:rsidR="00212EFE" w:rsidRDefault="00574C22">
      <w:pPr>
        <w:spacing w:after="0" w:line="276" w:lineRule="auto"/>
        <w:jc w:val="both"/>
        <w:rPr>
          <w:b/>
        </w:rPr>
      </w:pPr>
      <w:r>
        <w:rPr>
          <w:b/>
        </w:rPr>
        <w:t>Фінансова оцінка (максимально 100 балів)</w:t>
      </w:r>
    </w:p>
    <w:p w:rsidR="00212EFE" w:rsidRDefault="00574C22">
      <w:pPr>
        <w:spacing w:after="0" w:line="276" w:lineRule="auto"/>
        <w:jc w:val="both"/>
      </w:pPr>
      <w: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</w:t>
      </w:r>
      <w:r>
        <w:t>оцінки.</w:t>
      </w:r>
    </w:p>
    <w:p w:rsidR="00212EFE" w:rsidRDefault="00574C22">
      <w:pPr>
        <w:spacing w:after="0" w:line="276" w:lineRule="auto"/>
        <w:jc w:val="both"/>
      </w:pPr>
      <w:r>
        <w:t xml:space="preserve"> </w:t>
      </w:r>
    </w:p>
    <w:p w:rsidR="00212EFE" w:rsidRDefault="00574C22">
      <w:pPr>
        <w:spacing w:after="0" w:line="276" w:lineRule="auto"/>
        <w:jc w:val="both"/>
      </w:pPr>
      <w:r>
        <w:t xml:space="preserve"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</w:t>
      </w:r>
      <w:r>
        <w:t>завданні. Усі інші цінові пропозиції отримають бали у зворотній пропорції згідно такої формули:</w:t>
      </w:r>
    </w:p>
    <w:p w:rsidR="00212EFE" w:rsidRDefault="00574C22">
      <w:pPr>
        <w:spacing w:after="0" w:line="276" w:lineRule="auto"/>
        <w:jc w:val="both"/>
      </w:pPr>
      <w:r>
        <w:t xml:space="preserve"> </w:t>
      </w:r>
    </w:p>
    <w:tbl>
      <w:tblPr>
        <w:tblStyle w:val="Style53"/>
        <w:tblW w:w="8190" w:type="dxa"/>
        <w:jc w:val="center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370"/>
        <w:gridCol w:w="3630"/>
      </w:tblGrid>
      <w:tr w:rsidR="00212EFE">
        <w:trPr>
          <w:trHeight w:val="645"/>
          <w:jc w:val="center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line="256" w:lineRule="auto"/>
              <w:jc w:val="both"/>
            </w:pPr>
            <w:r>
              <w:t>Фінансова оцінка =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line="256" w:lineRule="auto"/>
              <w:jc w:val="center"/>
            </w:pPr>
            <w:r>
              <w:t>Найнижча подана ціна ($)</w:t>
            </w:r>
          </w:p>
        </w:tc>
        <w:tc>
          <w:tcPr>
            <w:tcW w:w="3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line="256" w:lineRule="auto"/>
              <w:jc w:val="both"/>
            </w:pPr>
            <w:r>
              <w:t>X 100 (Максимальна кількість балів)</w:t>
            </w:r>
          </w:p>
        </w:tc>
      </w:tr>
      <w:tr w:rsidR="00212EFE">
        <w:trPr>
          <w:trHeight w:val="645"/>
          <w:jc w:val="center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212EFE">
            <w:pPr>
              <w:widowControl w:val="0"/>
              <w:spacing w:after="0" w:line="276" w:lineRule="auto"/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line="256" w:lineRule="auto"/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3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212EFE">
            <w:pPr>
              <w:widowControl w:val="0"/>
              <w:spacing w:after="0" w:line="276" w:lineRule="auto"/>
            </w:pPr>
          </w:p>
        </w:tc>
      </w:tr>
    </w:tbl>
    <w:p w:rsidR="00212EFE" w:rsidRDefault="00574C22">
      <w:pPr>
        <w:spacing w:before="200" w:line="256" w:lineRule="auto"/>
        <w:jc w:val="both"/>
        <w:rPr>
          <w:b/>
        </w:rPr>
      </w:pPr>
      <w:r>
        <w:rPr>
          <w:b/>
        </w:rPr>
        <w:t>Загальний бал</w:t>
      </w:r>
    </w:p>
    <w:p w:rsidR="00212EFE" w:rsidRDefault="00574C22">
      <w:pPr>
        <w:spacing w:after="0" w:line="276" w:lineRule="auto"/>
        <w:jc w:val="both"/>
      </w:pPr>
      <w:r>
        <w:t xml:space="preserve">Сумарна оцінка для </w:t>
      </w:r>
      <w:r>
        <w:t>кожної пропозиції буде середньозваженою сумою оцінки за технічну та фінансову пропозиції. Максимальна сума балів – 100 балів.</w:t>
      </w:r>
    </w:p>
    <w:p w:rsidR="00212EFE" w:rsidRDefault="00212EFE">
      <w:pPr>
        <w:spacing w:after="0" w:line="276" w:lineRule="auto"/>
        <w:jc w:val="both"/>
      </w:pPr>
    </w:p>
    <w:tbl>
      <w:tblPr>
        <w:tblStyle w:val="Style54"/>
        <w:tblW w:w="6510" w:type="dxa"/>
        <w:jc w:val="center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0"/>
      </w:tblGrid>
      <w:tr w:rsidR="00212EFE">
        <w:trPr>
          <w:trHeight w:val="63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line="256" w:lineRule="auto"/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:rsidR="00212EFE" w:rsidRDefault="00574C22">
      <w:pPr>
        <w:spacing w:after="0" w:line="276" w:lineRule="auto"/>
        <w:jc w:val="both"/>
      </w:pPr>
      <w:r>
        <w:t xml:space="preserve"> </w:t>
      </w:r>
    </w:p>
    <w:p w:rsidR="00212EFE" w:rsidRDefault="00574C22">
      <w:pPr>
        <w:pStyle w:val="Heading3"/>
        <w:keepNext w:val="0"/>
        <w:keepLines w:val="0"/>
        <w:spacing w:before="80" w:line="276" w:lineRule="auto"/>
        <w:jc w:val="both"/>
        <w:rPr>
          <w:sz w:val="22"/>
          <w:szCs w:val="22"/>
        </w:rPr>
      </w:pPr>
      <w:bookmarkStart w:id="6" w:name="_heading=h.4pzs53hyeaet" w:colFirst="0" w:colLast="0"/>
      <w:bookmarkEnd w:id="6"/>
      <w:r>
        <w:rPr>
          <w:sz w:val="22"/>
          <w:szCs w:val="22"/>
        </w:rPr>
        <w:t>VI. Визначення переможця</w:t>
      </w:r>
    </w:p>
    <w:p w:rsidR="00212EFE" w:rsidRDefault="00574C22">
      <w:pPr>
        <w:spacing w:before="80" w:after="80" w:line="276" w:lineRule="auto"/>
        <w:jc w:val="both"/>
      </w:pPr>
      <w:r>
        <w:t xml:space="preserve">Договір на термін до 30 листопада 2024 </w:t>
      </w:r>
      <w:r>
        <w:t>року між UNFPA, Фондом ООН у галузі народонаселення в Україні  та постачальником буде укладено з тим претендентом, чия пропозиція набере найвищий бал за сумарною оцінкою та буде відповідати вимогам документації конкурсних торгів.</w:t>
      </w:r>
    </w:p>
    <w:p w:rsidR="00212EFE" w:rsidRDefault="00574C22">
      <w:pPr>
        <w:pStyle w:val="Heading3"/>
        <w:keepNext w:val="0"/>
        <w:keepLines w:val="0"/>
        <w:spacing w:before="80" w:line="276" w:lineRule="auto"/>
        <w:jc w:val="both"/>
        <w:rPr>
          <w:sz w:val="22"/>
          <w:szCs w:val="22"/>
        </w:rPr>
      </w:pPr>
      <w:bookmarkStart w:id="7" w:name="_heading=h.lhb20xc7sb6j" w:colFirst="0" w:colLast="0"/>
      <w:bookmarkEnd w:id="7"/>
      <w:r>
        <w:rPr>
          <w:sz w:val="22"/>
          <w:szCs w:val="22"/>
        </w:rPr>
        <w:t>VII. Право на змінення вим</w:t>
      </w:r>
      <w:r>
        <w:rPr>
          <w:sz w:val="22"/>
          <w:szCs w:val="22"/>
        </w:rPr>
        <w:t>ог під час прийняття рішень</w:t>
      </w:r>
    </w:p>
    <w:p w:rsidR="00212EFE" w:rsidRDefault="00574C22">
      <w:pPr>
        <w:spacing w:before="80" w:after="80" w:line="276" w:lineRule="auto"/>
        <w:jc w:val="both"/>
      </w:pPr>
      <w:r>
        <w:lastRenderedPageBreak/>
        <w:t>UNFPA, Фонд ООН у галузі народонаселення в Україні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212EFE" w:rsidRDefault="00574C22">
      <w:pPr>
        <w:pStyle w:val="Heading3"/>
        <w:keepNext w:val="0"/>
        <w:keepLines w:val="0"/>
        <w:spacing w:before="80" w:line="276" w:lineRule="auto"/>
        <w:jc w:val="both"/>
        <w:rPr>
          <w:sz w:val="22"/>
          <w:szCs w:val="22"/>
        </w:rPr>
      </w:pPr>
      <w:bookmarkStart w:id="8" w:name="_heading=h.tr7mdlayw3zt" w:colFirst="0" w:colLast="0"/>
      <w:bookmarkEnd w:id="8"/>
      <w:r>
        <w:rPr>
          <w:sz w:val="22"/>
          <w:szCs w:val="22"/>
        </w:rPr>
        <w:t>VIII. У</w:t>
      </w:r>
      <w:r>
        <w:rPr>
          <w:sz w:val="22"/>
          <w:szCs w:val="22"/>
        </w:rPr>
        <w:t>мови оплати</w:t>
      </w:r>
    </w:p>
    <w:p w:rsidR="00212EFE" w:rsidRDefault="00574C22">
      <w:pPr>
        <w:spacing w:before="80" w:after="80" w:line="256" w:lineRule="auto"/>
        <w:jc w:val="both"/>
      </w:pPr>
      <w: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пакета супровідної платіжної документації. Оплата здійснюється у валюті: українських гривнях. У випадку в</w:t>
      </w:r>
      <w:r>
        <w:t>икористання двох валют, курсом обміну вважається операційний курс Організації Об'єднаних Націй в той день, в який UNFPA, Фонд ООН у галузі народонаселення в Україні повідомляє про здійснення цих платежів (веб:</w:t>
      </w:r>
      <w:hyperlink r:id="rId26">
        <w:r>
          <w:t xml:space="preserve"> www</w:t>
        </w:r>
        <w:r>
          <w:t>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212EFE" w:rsidRDefault="00574C22">
      <w:pPr>
        <w:pStyle w:val="Heading3"/>
        <w:keepNext w:val="0"/>
        <w:keepLines w:val="0"/>
        <w:spacing w:before="80" w:line="276" w:lineRule="auto"/>
        <w:jc w:val="both"/>
        <w:rPr>
          <w:sz w:val="22"/>
          <w:szCs w:val="22"/>
        </w:rPr>
      </w:pPr>
      <w:bookmarkStart w:id="9" w:name="_heading=h.x78nriuqgwas" w:colFirst="0" w:colLast="0"/>
      <w:bookmarkEnd w:id="9"/>
      <w:r>
        <w:rPr>
          <w:sz w:val="22"/>
          <w:szCs w:val="22"/>
        </w:rPr>
        <w:t>IX. Шахрайство і корупція</w:t>
      </w:r>
    </w:p>
    <w:p w:rsidR="00212EFE" w:rsidRDefault="00574C22">
      <w:pPr>
        <w:spacing w:before="80" w:after="80" w:line="276" w:lineRule="auto"/>
        <w:jc w:val="both"/>
      </w:pPr>
      <w:r>
        <w:t>UNFPA, Фонд ООН у галузі народонаселення в Україні прагне запобігат</w:t>
      </w:r>
      <w:r>
        <w:t>и, виявляти та вживати дій проти всіх випадків шахрайства щодо UNFPA, Фонду ООН у галузі народонаселення в Україні та третіх сторін, які беруть участь у діяльності UNFPA, Фонду ООН у галузі народонаселення в Україні. З політикою Фонду ООН у галузі народона</w:t>
      </w:r>
      <w:r>
        <w:t>селення щодо шахрайства та корупції можна ознайомитися тут:</w:t>
      </w:r>
      <w:hyperlink r:id="rId27">
        <w:r>
          <w:t xml:space="preserve"> </w:t>
        </w:r>
      </w:hyperlink>
      <w:hyperlink r:id="rId28">
        <w:r>
          <w:rPr>
            <w:color w:val="1155CC"/>
            <w:u w:val="single"/>
          </w:rPr>
          <w:t>FraudPolicy</w:t>
        </w:r>
      </w:hyperlink>
      <w:r>
        <w:t>. Подання пропозицій учасником передбачає, що останній ознайомлений з даними правилами.</w:t>
      </w:r>
    </w:p>
    <w:p w:rsidR="00212EFE" w:rsidRDefault="00574C22">
      <w:pPr>
        <w:spacing w:before="80" w:after="80" w:line="256" w:lineRule="auto"/>
        <w:jc w:val="both"/>
      </w:pPr>
      <w:r>
        <w:t>У разі та за потреби, постачальники, їх дочірні підприємства, агенти, посеред</w:t>
      </w:r>
      <w:r>
        <w:t>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</w:t>
      </w:r>
      <w:r>
        <w:t>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</w:t>
      </w:r>
      <w:r>
        <w:t>м буде вважатися достатньою підставою для UNFPA, Фонду ООН у галузі народонаселення в Україні розірвати контракт з постачальником та відсторонити і зняти його зі списку зареєстрованих Фондом постачальників.</w:t>
      </w:r>
    </w:p>
    <w:p w:rsidR="00212EFE" w:rsidRDefault="00574C22">
      <w:pPr>
        <w:spacing w:before="80" w:after="80" w:line="276" w:lineRule="auto"/>
        <w:jc w:val="both"/>
        <w:rPr>
          <w:color w:val="0563C1"/>
          <w:u w:val="single"/>
        </w:rPr>
      </w:pPr>
      <w:r>
        <w:t>Конфіденційна гаряча лінія по боротьбі з шахрайст</w:t>
      </w:r>
      <w:r>
        <w:t>вом доступна для всіх учасників конкурсних торгів, про підозрілі та шахрайські дії має бути повідомлено через</w:t>
      </w:r>
      <w:hyperlink r:id="rId29">
        <w:r>
          <w:t xml:space="preserve"> </w:t>
        </w:r>
      </w:hyperlink>
      <w:hyperlink r:id="rId30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212EFE" w:rsidRDefault="00574C22">
      <w:pPr>
        <w:pStyle w:val="Heading3"/>
        <w:keepNext w:val="0"/>
        <w:keepLines w:val="0"/>
        <w:spacing w:before="80" w:line="276" w:lineRule="auto"/>
        <w:jc w:val="both"/>
        <w:rPr>
          <w:sz w:val="22"/>
          <w:szCs w:val="22"/>
        </w:rPr>
      </w:pPr>
      <w:bookmarkStart w:id="10" w:name="_heading=h.hvdnreycm5hs" w:colFirst="0" w:colLast="0"/>
      <w:bookmarkEnd w:id="10"/>
      <w:r>
        <w:rPr>
          <w:sz w:val="22"/>
          <w:szCs w:val="22"/>
        </w:rPr>
        <w:t xml:space="preserve">X. </w:t>
      </w:r>
      <w:r>
        <w:rPr>
          <w:sz w:val="22"/>
          <w:szCs w:val="22"/>
        </w:rPr>
        <w:t>Політика нульової толерантності</w:t>
      </w:r>
    </w:p>
    <w:p w:rsidR="00212EFE" w:rsidRDefault="00574C22">
      <w:pPr>
        <w:spacing w:before="80" w:after="80" w:line="256" w:lineRule="auto"/>
        <w:jc w:val="both"/>
      </w:pPr>
      <w:r>
        <w:t xml:space="preserve">UNFPA, Фонд ООН у галузі народонаселення в Україні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</w:t>
      </w:r>
      <w:r>
        <w:t>співробітникам UNFPA, Фонду ООН у галузі народонаселення в Україні. Детальніше з цими правилами можна ознайомитися тут:</w:t>
      </w:r>
      <w:hyperlink r:id="rId31">
        <w:r>
          <w:t xml:space="preserve"> </w:t>
        </w:r>
      </w:hyperlink>
      <w:hyperlink r:id="rId32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212EFE" w:rsidRDefault="00574C22">
      <w:pPr>
        <w:pStyle w:val="Heading3"/>
        <w:keepNext w:val="0"/>
        <w:keepLines w:val="0"/>
        <w:spacing w:before="80" w:line="276" w:lineRule="auto"/>
        <w:jc w:val="both"/>
        <w:rPr>
          <w:sz w:val="22"/>
          <w:szCs w:val="22"/>
        </w:rPr>
      </w:pPr>
      <w:bookmarkStart w:id="11" w:name="_heading=h.6urqf275d9u7" w:colFirst="0" w:colLast="0"/>
      <w:bookmarkEnd w:id="11"/>
      <w:r>
        <w:rPr>
          <w:sz w:val="22"/>
          <w:szCs w:val="22"/>
        </w:rPr>
        <w:t>XI. Опротестування процесу подання пропозицій</w:t>
      </w:r>
    </w:p>
    <w:p w:rsidR="00212EFE" w:rsidRDefault="00574C22">
      <w:pPr>
        <w:spacing w:before="80" w:after="80"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</w:t>
      </w:r>
      <w:r>
        <w:t>UNFPA, Фонду ООН у галузі народонаселення в Україні Альоні Зубченко на електронну пошту: zubchenko@unfpa.org. У разі незадоволення відповіддю, наданою керівником підрозділу UNFPA, Фонд ООН у галузі народонаселення в Україні, претендент може звернутися до Г</w:t>
      </w:r>
      <w:r>
        <w:t>олови Відділу закупівель Фонду ООН у галузі народонаселення</w:t>
      </w:r>
      <w:r>
        <w:rPr>
          <w:color w:val="003366"/>
        </w:rPr>
        <w:t xml:space="preserve">  procurement@unfpa.org</w:t>
      </w:r>
      <w:r>
        <w:t>.</w:t>
      </w:r>
    </w:p>
    <w:p w:rsidR="00212EFE" w:rsidRDefault="00574C22">
      <w:pPr>
        <w:pStyle w:val="Heading3"/>
        <w:keepNext w:val="0"/>
        <w:keepLines w:val="0"/>
        <w:spacing w:before="80" w:line="276" w:lineRule="auto"/>
        <w:jc w:val="both"/>
        <w:rPr>
          <w:sz w:val="22"/>
          <w:szCs w:val="22"/>
        </w:rPr>
      </w:pPr>
      <w:bookmarkStart w:id="12" w:name="_heading=h.h453cxo9j7kq" w:colFirst="0" w:colLast="0"/>
      <w:bookmarkEnd w:id="12"/>
      <w:r>
        <w:rPr>
          <w:sz w:val="22"/>
          <w:szCs w:val="22"/>
        </w:rPr>
        <w:t>XII. Зауваження</w:t>
      </w:r>
    </w:p>
    <w:p w:rsidR="00212EFE" w:rsidRDefault="00574C22">
      <w:pPr>
        <w:spacing w:before="80" w:after="80" w:line="256" w:lineRule="auto"/>
        <w:jc w:val="both"/>
      </w:pPr>
      <w:r>
        <w:t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</w:t>
      </w:r>
      <w:r>
        <w:t xml:space="preserve"> отримання версії в форматі PDF.</w:t>
      </w:r>
    </w:p>
    <w:p w:rsidR="00212EFE" w:rsidRDefault="00212EFE">
      <w:pPr>
        <w:spacing w:line="256" w:lineRule="auto"/>
        <w:jc w:val="both"/>
        <w:rPr>
          <w:b/>
        </w:rPr>
      </w:pPr>
      <w:bookmarkStart w:id="13" w:name="_heading=h.gjdgxs" w:colFirst="0" w:colLast="0"/>
      <w:bookmarkEnd w:id="13"/>
    </w:p>
    <w:p w:rsidR="00212EFE" w:rsidRDefault="00574C22">
      <w:pPr>
        <w:spacing w:line="256" w:lineRule="auto"/>
        <w:jc w:val="center"/>
        <w:rPr>
          <w:b/>
          <w:smallCaps/>
        </w:rPr>
      </w:pPr>
      <w:r>
        <w:rPr>
          <w:b/>
          <w:smallCaps/>
        </w:rPr>
        <w:lastRenderedPageBreak/>
        <w:t>БЛАНК ЦІНОВОЇ ПРОПОЗИЦІЇ</w:t>
      </w:r>
    </w:p>
    <w:tbl>
      <w:tblPr>
        <w:tblStyle w:val="Style55"/>
        <w:tblW w:w="964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677"/>
        <w:gridCol w:w="1665"/>
        <w:gridCol w:w="603"/>
        <w:gridCol w:w="962"/>
        <w:gridCol w:w="1327"/>
        <w:gridCol w:w="1615"/>
      </w:tblGrid>
      <w:tr w:rsidR="00212EFE">
        <w:trPr>
          <w:trHeight w:val="240"/>
        </w:trPr>
        <w:tc>
          <w:tcPr>
            <w:tcW w:w="5740" w:type="dxa"/>
            <w:gridSpan w:val="4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претендента:</w:t>
            </w:r>
          </w:p>
        </w:tc>
        <w:tc>
          <w:tcPr>
            <w:tcW w:w="3904" w:type="dxa"/>
            <w:gridSpan w:val="3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240"/>
        </w:trPr>
        <w:tc>
          <w:tcPr>
            <w:tcW w:w="5740" w:type="dxa"/>
            <w:gridSpan w:val="4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подання: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</w:tr>
      <w:tr w:rsidR="00212EFE">
        <w:trPr>
          <w:trHeight w:val="240"/>
        </w:trPr>
        <w:tc>
          <w:tcPr>
            <w:tcW w:w="5740" w:type="dxa"/>
            <w:gridSpan w:val="4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запиту: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RFQNº UNFPA/UKR/RFQ/23/27</w:t>
            </w:r>
          </w:p>
        </w:tc>
      </w:tr>
      <w:tr w:rsidR="00212EFE">
        <w:trPr>
          <w:trHeight w:val="240"/>
        </w:trPr>
        <w:tc>
          <w:tcPr>
            <w:tcW w:w="5740" w:type="dxa"/>
            <w:gridSpan w:val="4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Валюта: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USD*</w:t>
            </w:r>
          </w:p>
        </w:tc>
      </w:tr>
      <w:tr w:rsidR="00212EFE">
        <w:trPr>
          <w:trHeight w:val="690"/>
        </w:trPr>
        <w:tc>
          <w:tcPr>
            <w:tcW w:w="5740" w:type="dxa"/>
            <w:gridSpan w:val="4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дії цінової пропозиції:</w:t>
            </w:r>
          </w:p>
          <w:p w:rsidR="00212EFE" w:rsidRDefault="00574C22">
            <w:pPr>
              <w:spacing w:after="0" w:line="276" w:lineRule="auto"/>
              <w:ind w:left="-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(пропозиція має бути чинною протягом </w:t>
            </w:r>
            <w:r>
              <w:rPr>
                <w:i/>
                <w:sz w:val="20"/>
                <w:szCs w:val="20"/>
              </w:rPr>
              <w:t>щонайменше 2 місяців після кінцевого строку надсилання пропозицій)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69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№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Опис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Кількість співробітників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Погодинна оплата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Кількість годин роботи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Загалом</w:t>
            </w:r>
          </w:p>
        </w:tc>
      </w:tr>
      <w:tr w:rsidR="00212EFE">
        <w:trPr>
          <w:trHeight w:val="240"/>
        </w:trPr>
        <w:tc>
          <w:tcPr>
            <w:tcW w:w="964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Гонорари працівникам</w:t>
            </w:r>
          </w:p>
        </w:tc>
      </w:tr>
      <w:tr w:rsidR="00212EFE">
        <w:trPr>
          <w:trHeight w:val="24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24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24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240"/>
        </w:trPr>
        <w:tc>
          <w:tcPr>
            <w:tcW w:w="80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Загальна сума гонорару, USD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240"/>
        </w:trPr>
        <w:tc>
          <w:tcPr>
            <w:tcW w:w="964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витрати</w:t>
            </w:r>
          </w:p>
        </w:tc>
      </w:tr>
      <w:tr w:rsidR="00212EFE">
        <w:trPr>
          <w:trHeight w:val="24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24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240"/>
        </w:trPr>
        <w:tc>
          <w:tcPr>
            <w:tcW w:w="80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Загальна сума інших витрат, USD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240"/>
        </w:trPr>
        <w:tc>
          <w:tcPr>
            <w:tcW w:w="80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Загальна сума гонорару  та інших витрат, USD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212EFE">
            <w:pPr>
              <w:spacing w:after="0" w:line="276" w:lineRule="auto"/>
              <w:ind w:left="-120"/>
              <w:jc w:val="right"/>
              <w:rPr>
                <w:sz w:val="20"/>
                <w:szCs w:val="20"/>
              </w:rPr>
            </w:pPr>
          </w:p>
        </w:tc>
      </w:tr>
      <w:tr w:rsidR="00212EFE">
        <w:trPr>
          <w:trHeight w:val="240"/>
        </w:trPr>
        <w:tc>
          <w:tcPr>
            <w:tcW w:w="80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ПДВ (якщо платник ПДВ), USD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585"/>
        </w:trPr>
        <w:tc>
          <w:tcPr>
            <w:tcW w:w="80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574C22">
            <w:pPr>
              <w:spacing w:after="0" w:line="276" w:lineRule="auto"/>
              <w:ind w:left="-1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Загальна сума контракту</w:t>
            </w:r>
          </w:p>
          <w:p w:rsidR="00212EFE" w:rsidRDefault="00574C22">
            <w:pPr>
              <w:spacing w:after="0" w:line="276" w:lineRule="auto"/>
              <w:ind w:left="-1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(гонорари працівникам+ інші витрати+ПДВ (якщо платник ПДВ), USD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12EFE" w:rsidRDefault="00212EFE">
            <w:pPr>
              <w:spacing w:after="0" w:line="276" w:lineRule="auto"/>
              <w:ind w:left="-120"/>
              <w:jc w:val="right"/>
              <w:rPr>
                <w:sz w:val="20"/>
                <w:szCs w:val="20"/>
              </w:rPr>
            </w:pPr>
          </w:p>
        </w:tc>
      </w:tr>
      <w:tr w:rsidR="00212EFE">
        <w:trPr>
          <w:trHeight w:val="215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574C22">
            <w:pPr>
              <w:spacing w:after="0" w:line="240" w:lineRule="auto"/>
              <w:ind w:left="-120"/>
              <w:jc w:val="both"/>
            </w:pPr>
            <w:r>
              <w:t xml:space="preserve"> *за курсом зазначеним на сайті </w:t>
            </w:r>
            <w:hyperlink r:id="rId33">
              <w:r>
                <w:rPr>
                  <w:color w:val="0563C1"/>
                  <w:u w:val="single"/>
                </w:rPr>
                <w:t>https://treasury.un.org/operationalrates/OperationalRates.php</w:t>
              </w:r>
            </w:hyperlink>
            <w:r>
              <w:t> </w:t>
            </w:r>
          </w:p>
        </w:tc>
      </w:tr>
    </w:tbl>
    <w:p w:rsidR="00212EFE" w:rsidRDefault="00212EFE">
      <w:pPr>
        <w:spacing w:after="0" w:line="240" w:lineRule="auto"/>
        <w:jc w:val="both"/>
      </w:pPr>
    </w:p>
    <w:tbl>
      <w:tblPr>
        <w:tblStyle w:val="Style56"/>
        <w:tblW w:w="957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212EFE">
        <w:trPr>
          <w:trHeight w:val="113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FE" w:rsidRDefault="00212EFE">
            <w:pPr>
              <w:widowControl w:val="0"/>
              <w:spacing w:after="0" w:line="276" w:lineRule="auto"/>
            </w:pPr>
          </w:p>
          <w:tbl>
            <w:tblPr>
              <w:tblStyle w:val="Style57"/>
              <w:tblW w:w="9251" w:type="dxa"/>
              <w:tblInd w:w="0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1"/>
            </w:tblGrid>
            <w:tr w:rsidR="00212EFE">
              <w:trPr>
                <w:trHeight w:val="1160"/>
              </w:trPr>
              <w:tc>
                <w:tcPr>
                  <w:tcW w:w="9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12EFE" w:rsidRDefault="00574C22">
                  <w:pPr>
                    <w:spacing w:line="256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Коментарі:</w:t>
                  </w:r>
                </w:p>
                <w:p w:rsidR="00212EFE" w:rsidRDefault="00574C22">
                  <w:pPr>
                    <w:spacing w:line="256" w:lineRule="auto"/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212EFE" w:rsidRDefault="00212EFE">
            <w:pPr>
              <w:spacing w:after="0" w:line="240" w:lineRule="auto"/>
              <w:jc w:val="both"/>
            </w:pPr>
          </w:p>
        </w:tc>
      </w:tr>
    </w:tbl>
    <w:p w:rsidR="00212EFE" w:rsidRDefault="00574C22">
      <w:pPr>
        <w:spacing w:line="256" w:lineRule="auto"/>
        <w:jc w:val="both"/>
      </w:pPr>
      <w:r>
        <w:t xml:space="preserve"> Цим засвідчую, що вище вказана компанія, яку я уповноважений представляти, переглянула Запит на Подання Пропозицій R</w:t>
      </w:r>
      <w:r>
        <w:rPr>
          <w:b/>
        </w:rPr>
        <w:t>FQ NºUNFPA/UKR/RFQ</w:t>
      </w:r>
      <w:r>
        <w:rPr>
          <w:b/>
          <w:highlight w:val="white"/>
        </w:rPr>
        <w:t xml:space="preserve">/23/27 </w:t>
      </w:r>
      <w:r>
        <w:rPr>
          <w:b/>
        </w:rPr>
        <w:t>[</w:t>
      </w:r>
      <w:r>
        <w:rPr>
          <w:b/>
          <w:color w:val="1F1F1F"/>
          <w:highlight w:val="white"/>
        </w:rPr>
        <w:t>SMM-підтримка Інстаграм-сторінки “ВОНА хаб” та просування Фейсбук-сторінок 8 (восьми) локальних “ВОНА хабів”</w:t>
      </w:r>
      <w:r>
        <w:rPr>
          <w:b/>
        </w:rPr>
        <w:t>]</w:t>
      </w:r>
      <w:r>
        <w:t xml:space="preserve">, у </w:t>
      </w:r>
      <w:r>
        <w:t>тому числі всі додатки, зміни в документі (якщо такі мають місце) та відповіді UNFPA, Фонду ООН у галузі народонаселення в Україні на уточнювальні питання з боку потенційного постачальника. Також, компанія приймає Загальні умови договору UNFPA, Фонду ООН у</w:t>
      </w:r>
      <w:r>
        <w:t xml:space="preserve"> галузі народонаселення та буде дотримуватися цієї цінової пропозиції до моменту закінчення терміну дії останньої.</w:t>
      </w:r>
    </w:p>
    <w:p w:rsidR="00212EFE" w:rsidRDefault="00574C22">
      <w:pPr>
        <w:spacing w:after="0" w:line="276" w:lineRule="auto"/>
        <w:jc w:val="both"/>
      </w:pPr>
      <w:r>
        <w:t xml:space="preserve"> </w:t>
      </w:r>
    </w:p>
    <w:tbl>
      <w:tblPr>
        <w:tblStyle w:val="Style58"/>
        <w:tblW w:w="922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2370"/>
        <w:gridCol w:w="2340"/>
      </w:tblGrid>
      <w:tr w:rsidR="00212EFE">
        <w:trPr>
          <w:trHeight w:val="465"/>
        </w:trPr>
        <w:tc>
          <w:tcPr>
            <w:tcW w:w="45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234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EFE">
        <w:trPr>
          <w:trHeight w:val="240"/>
        </w:trPr>
        <w:tc>
          <w:tcPr>
            <w:tcW w:w="451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Ім’я, прізвище та посада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2EFE" w:rsidRDefault="00574C22">
            <w:pPr>
              <w:spacing w:after="0" w:line="276" w:lineRule="auto"/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та місце</w:t>
            </w:r>
          </w:p>
        </w:tc>
      </w:tr>
    </w:tbl>
    <w:p w:rsidR="00212EFE" w:rsidRDefault="00574C22">
      <w:pPr>
        <w:spacing w:line="256" w:lineRule="auto"/>
        <w:jc w:val="both"/>
        <w:rPr>
          <w:b/>
        </w:rPr>
      </w:pPr>
      <w:r>
        <w:rPr>
          <w:b/>
        </w:rPr>
        <w:t xml:space="preserve"> </w:t>
      </w:r>
    </w:p>
    <w:p w:rsidR="00B42B24" w:rsidRDefault="00B42B24">
      <w:pPr>
        <w:spacing w:line="256" w:lineRule="auto"/>
        <w:jc w:val="center"/>
        <w:rPr>
          <w:b/>
        </w:rPr>
      </w:pPr>
    </w:p>
    <w:p w:rsidR="00212EFE" w:rsidRDefault="00574C22">
      <w:pPr>
        <w:spacing w:line="256" w:lineRule="auto"/>
        <w:jc w:val="center"/>
        <w:rPr>
          <w:b/>
        </w:rPr>
      </w:pPr>
      <w:bookmarkStart w:id="14" w:name="_GoBack"/>
      <w:bookmarkEnd w:id="14"/>
      <w:r>
        <w:rPr>
          <w:b/>
        </w:rPr>
        <w:t xml:space="preserve"> </w:t>
      </w:r>
    </w:p>
    <w:p w:rsidR="00212EFE" w:rsidRDefault="00574C2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Додаток I:</w:t>
      </w:r>
    </w:p>
    <w:p w:rsidR="00212EFE" w:rsidRDefault="00574C22">
      <w:pPr>
        <w:spacing w:after="0" w:line="240" w:lineRule="auto"/>
        <w:jc w:val="center"/>
        <w:rPr>
          <w:b/>
        </w:rPr>
      </w:pPr>
      <w:r>
        <w:rPr>
          <w:b/>
        </w:rPr>
        <w:t>Загальні умови договору:</w:t>
      </w:r>
    </w:p>
    <w:p w:rsidR="00212EFE" w:rsidRDefault="00574C22">
      <w:pPr>
        <w:spacing w:after="0" w:line="240" w:lineRule="auto"/>
        <w:jc w:val="center"/>
        <w:rPr>
          <w:b/>
        </w:rPr>
      </w:pPr>
      <w:r>
        <w:rPr>
          <w:b/>
        </w:rPr>
        <w:t>De Minimis Contracts</w:t>
      </w:r>
    </w:p>
    <w:p w:rsidR="00212EFE" w:rsidRDefault="00212EFE">
      <w:pPr>
        <w:spacing w:after="0" w:line="240" w:lineRule="auto"/>
      </w:pPr>
    </w:p>
    <w:p w:rsidR="00212EFE" w:rsidRDefault="00212EFE">
      <w:pPr>
        <w:tabs>
          <w:tab w:val="left" w:pos="7020"/>
        </w:tabs>
        <w:spacing w:after="0" w:line="240" w:lineRule="auto"/>
      </w:pPr>
    </w:p>
    <w:p w:rsidR="00212EFE" w:rsidRDefault="00574C22">
      <w:pPr>
        <w:spacing w:after="0" w:line="240" w:lineRule="auto"/>
        <w:jc w:val="both"/>
      </w:pPr>
      <w:r>
        <w:t>Цей запит на подання пропозицій підпадає під дію Загальних умов договору Фонду ООН у галузі народонаселення De Minimis Contracts, який можна знайти тут:</w:t>
      </w:r>
      <w:r>
        <w:rPr>
          <w:b/>
        </w:rPr>
        <w:t xml:space="preserve"> </w:t>
      </w:r>
      <w:hyperlink r:id="rId34">
        <w:r>
          <w:rPr>
            <w:color w:val="003366"/>
            <w:u w:val="single"/>
          </w:rPr>
          <w:t>English,</w:t>
        </w:r>
      </w:hyperlink>
      <w:r>
        <w:t xml:space="preserve"> </w:t>
      </w:r>
      <w:hyperlink r:id="rId35">
        <w:r>
          <w:rPr>
            <w:color w:val="003366"/>
            <w:u w:val="single"/>
          </w:rPr>
          <w:t>Spanish</w:t>
        </w:r>
      </w:hyperlink>
      <w:r>
        <w:t xml:space="preserve"> і </w:t>
      </w:r>
      <w:hyperlink r:id="rId36">
        <w:r>
          <w:rPr>
            <w:color w:val="003366"/>
            <w:u w:val="single"/>
          </w:rPr>
          <w:t>French</w:t>
        </w:r>
      </w:hyperlink>
      <w:r>
        <w:rPr>
          <w:color w:val="003366"/>
          <w:u w:val="single"/>
        </w:rPr>
        <w:t>. </w:t>
      </w:r>
    </w:p>
    <w:p w:rsidR="00212EFE" w:rsidRDefault="00212EFE">
      <w:pPr>
        <w:tabs>
          <w:tab w:val="left" w:pos="7020"/>
        </w:tabs>
        <w:spacing w:after="0" w:line="240" w:lineRule="auto"/>
      </w:pPr>
    </w:p>
    <w:p w:rsidR="00212EFE" w:rsidRDefault="00212EFE">
      <w:pPr>
        <w:spacing w:line="256" w:lineRule="auto"/>
        <w:jc w:val="center"/>
        <w:rPr>
          <w:b/>
        </w:rPr>
      </w:pPr>
    </w:p>
    <w:p w:rsidR="00212EFE" w:rsidRDefault="00212EFE">
      <w:pPr>
        <w:spacing w:after="0" w:line="276" w:lineRule="auto"/>
        <w:jc w:val="both"/>
        <w:rPr>
          <w:color w:val="0563C1"/>
          <w:u w:val="single"/>
        </w:rPr>
      </w:pPr>
    </w:p>
    <w:p w:rsidR="00212EFE" w:rsidRDefault="00574C22">
      <w:pPr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</w:p>
    <w:p w:rsidR="00212EFE" w:rsidRDefault="00574C22">
      <w:pPr>
        <w:spacing w:line="25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12EFE" w:rsidRDefault="00574C22">
      <w:pPr>
        <w:spacing w:line="25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12EFE" w:rsidRDefault="00574C22">
      <w:pPr>
        <w:spacing w:line="256" w:lineRule="auto"/>
        <w:jc w:val="both"/>
        <w:rPr>
          <w:b/>
        </w:rPr>
      </w:pPr>
      <w:r>
        <w:rPr>
          <w:b/>
        </w:rPr>
        <w:t xml:space="preserve"> </w:t>
      </w:r>
    </w:p>
    <w:p w:rsidR="00212EFE" w:rsidRDefault="00574C22">
      <w:pPr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</w:p>
    <w:p w:rsidR="00212EFE" w:rsidRDefault="00574C22">
      <w:pPr>
        <w:spacing w:line="256" w:lineRule="auto"/>
        <w:jc w:val="both"/>
        <w:rPr>
          <w:b/>
        </w:rPr>
      </w:pPr>
      <w:r>
        <w:rPr>
          <w:b/>
        </w:rPr>
        <w:t xml:space="preserve"> </w:t>
      </w:r>
    </w:p>
    <w:p w:rsidR="00212EFE" w:rsidRDefault="00212EFE">
      <w:pPr>
        <w:spacing w:after="0" w:line="240" w:lineRule="auto"/>
        <w:jc w:val="both"/>
        <w:rPr>
          <w:b/>
        </w:rPr>
      </w:pPr>
    </w:p>
    <w:p w:rsidR="00212EFE" w:rsidRDefault="00212EFE">
      <w:pPr>
        <w:rPr>
          <w:b/>
        </w:rPr>
      </w:pPr>
    </w:p>
    <w:p w:rsidR="00212EFE" w:rsidRDefault="00212EFE"/>
    <w:sectPr w:rsidR="00212EFE">
      <w:headerReference w:type="default" r:id="rId37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22" w:rsidRDefault="00574C22">
      <w:pPr>
        <w:spacing w:line="240" w:lineRule="auto"/>
      </w:pPr>
      <w:r>
        <w:separator/>
      </w:r>
    </w:p>
  </w:endnote>
  <w:endnote w:type="continuationSeparator" w:id="0">
    <w:p w:rsidR="00574C22" w:rsidRDefault="00574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22" w:rsidRDefault="00574C22">
      <w:pPr>
        <w:spacing w:after="0"/>
      </w:pPr>
      <w:r>
        <w:separator/>
      </w:r>
    </w:p>
  </w:footnote>
  <w:footnote w:type="continuationSeparator" w:id="0">
    <w:p w:rsidR="00574C22" w:rsidRDefault="00574C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FE" w:rsidRDefault="00574C22">
    <w:pP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/>
          <wp:docPr id="29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2EFE" w:rsidRDefault="00574C22">
    <w:pP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212EFE" w:rsidRDefault="00574C22">
    <w:pP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212EFE" w:rsidRDefault="00574C22">
    <w:pP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99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B654F3"/>
    <w:multiLevelType w:val="multilevel"/>
    <w:tmpl w:val="25B654F3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183CF9"/>
    <w:multiLevelType w:val="multilevel"/>
    <w:tmpl w:val="72183CF9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FE"/>
    <w:rsid w:val="00212EFE"/>
    <w:rsid w:val="00574C22"/>
    <w:rsid w:val="00B42B24"/>
    <w:rsid w:val="466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3020-E48C-40A1-90BC-FDF082A7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 w:unhideWhenUsed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22"/>
      <w:szCs w:val="20"/>
      <w:lang w:val="uk-UA" w:eastAsia="uk-U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Calibri"/>
      <w:sz w:val="22"/>
      <w:szCs w:val="22"/>
      <w:lang w:val="uk-UA" w:eastAsia="uk-UA"/>
    </w:rPr>
  </w:style>
  <w:style w:type="table" w:customStyle="1" w:styleId="Style27">
    <w:name w:val="_Style 27"/>
    <w:basedOn w:val="TableNormal1"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1"/>
    <w:tblPr>
      <w:tblCellMar>
        <w:left w:w="115" w:type="dxa"/>
        <w:right w:w="115" w:type="dxa"/>
      </w:tblCellMar>
    </w:tblPr>
  </w:style>
  <w:style w:type="table" w:customStyle="1" w:styleId="Style29">
    <w:name w:val="_Style 29"/>
    <w:basedOn w:val="TableNormal1"/>
    <w:tblPr>
      <w:tblCellMar>
        <w:left w:w="115" w:type="dxa"/>
        <w:right w:w="115" w:type="dxa"/>
      </w:tblCellMar>
    </w:tblPr>
  </w:style>
  <w:style w:type="table" w:customStyle="1" w:styleId="Style30">
    <w:name w:val="_Style 30"/>
    <w:basedOn w:val="TableNormal1"/>
    <w:tblPr>
      <w:tblCellMar>
        <w:left w:w="115" w:type="dxa"/>
        <w:right w:w="115" w:type="dxa"/>
      </w:tblCellMar>
    </w:tblPr>
  </w:style>
  <w:style w:type="table" w:customStyle="1" w:styleId="Style31">
    <w:name w:val="_Style 31"/>
    <w:basedOn w:val="TableNormal1"/>
    <w:tblPr>
      <w:tblCellMar>
        <w:left w:w="115" w:type="dxa"/>
        <w:right w:w="115" w:type="dxa"/>
      </w:tblCellMar>
    </w:tblPr>
  </w:style>
  <w:style w:type="table" w:customStyle="1" w:styleId="Style32">
    <w:name w:val="_Style 32"/>
    <w:basedOn w:val="TableNormal1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1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1"/>
    <w:tblPr>
      <w:tblCellMar>
        <w:left w:w="115" w:type="dxa"/>
        <w:right w:w="115" w:type="dxa"/>
      </w:tblCellMar>
    </w:tblPr>
  </w:style>
  <w:style w:type="table" w:customStyle="1" w:styleId="Style35">
    <w:name w:val="_Style 35"/>
    <w:basedOn w:val="TableNormal1"/>
    <w:tblPr>
      <w:tblCellMar>
        <w:left w:w="115" w:type="dxa"/>
        <w:right w:w="115" w:type="dxa"/>
      </w:tblCellMar>
    </w:tblPr>
  </w:style>
  <w:style w:type="table" w:customStyle="1" w:styleId="Style36">
    <w:name w:val="_Style 36"/>
    <w:basedOn w:val="TableNormal1"/>
    <w:tblPr>
      <w:tblCellMar>
        <w:left w:w="115" w:type="dxa"/>
        <w:right w:w="115" w:type="dxa"/>
      </w:tblCellMar>
    </w:tblPr>
  </w:style>
  <w:style w:type="table" w:customStyle="1" w:styleId="Style38">
    <w:name w:val="_Style 3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0">
    <w:name w:val="_Style 4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1">
    <w:name w:val="_Style 4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VONAhub.Uzhhorod/" TargetMode="External"/><Relationship Id="rId18" Type="http://schemas.openxmlformats.org/officeDocument/2006/relationships/hyperlink" Target="https://www.instagram.com/vona_hub/" TargetMode="External"/><Relationship Id="rId26" Type="http://schemas.openxmlformats.org/officeDocument/2006/relationships/hyperlink" Target="http://www.treasury.un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nstagram.com/vona_hub/" TargetMode="External"/><Relationship Id="rId34" Type="http://schemas.openxmlformats.org/officeDocument/2006/relationships/hyperlink" Target="http://www.unfpa.org/resources/unfpa-general-conditions-de-minimis-contrac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83534130823" TargetMode="External"/><Relationship Id="rId17" Type="http://schemas.openxmlformats.org/officeDocument/2006/relationships/hyperlink" Target="https://www.facebook.com/VONAHub.Lutsk/" TargetMode="External"/><Relationship Id="rId25" Type="http://schemas.openxmlformats.org/officeDocument/2006/relationships/hyperlink" Target="mailto:puhachov@unfpa.org" TargetMode="External"/><Relationship Id="rId33" Type="http://schemas.openxmlformats.org/officeDocument/2006/relationships/hyperlink" Target="https://treasury.un.org/operationalrates/OperationalRates.ph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ona.chernivtsi/" TargetMode="External"/><Relationship Id="rId20" Type="http://schemas.openxmlformats.org/officeDocument/2006/relationships/hyperlink" Target="https://www.instagram.com/vona_hub/" TargetMode="External"/><Relationship Id="rId29" Type="http://schemas.openxmlformats.org/officeDocument/2006/relationships/hyperlink" Target="http://web2.unfpa.org/help/hotline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83611787378" TargetMode="External"/><Relationship Id="rId24" Type="http://schemas.openxmlformats.org/officeDocument/2006/relationships/hyperlink" Target="https://drive.google.com/file/d/1-zJLYNAihP76sZEbF4iDEsIkET-M2XWY/view?usp=sharing" TargetMode="External"/><Relationship Id="rId32" Type="http://schemas.openxmlformats.org/officeDocument/2006/relationships/hyperlink" Target="http://www.unfpa.org/about-procurement#ZeroTolerance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le.php?id=100086292727833" TargetMode="External"/><Relationship Id="rId23" Type="http://schemas.openxmlformats.org/officeDocument/2006/relationships/hyperlink" Target="https://www.instagram.com/vona_hub/" TargetMode="External"/><Relationship Id="rId28" Type="http://schemas.openxmlformats.org/officeDocument/2006/relationships/hyperlink" Target="https://www.unfpa.org/sites/default/files/admin-resource/Eths_Fraud_policy.pdfcy-2009#overlay-context=node/10356/draft" TargetMode="External"/><Relationship Id="rId36" Type="http://schemas.openxmlformats.org/officeDocument/2006/relationships/hyperlink" Target="http://www.unfpa.org/sites/default/files/resource-pdf/UNFPA%20General%20Conditions%20-%20De%20Minimis%20Contracts%20FR_0.pdf" TargetMode="External"/><Relationship Id="rId10" Type="http://schemas.openxmlformats.org/officeDocument/2006/relationships/hyperlink" Target="https://www.instagram.com/vona_hub/" TargetMode="External"/><Relationship Id="rId19" Type="http://schemas.openxmlformats.org/officeDocument/2006/relationships/hyperlink" Target="https://www.instagram.com/vona_hub/" TargetMode="External"/><Relationship Id="rId31" Type="http://schemas.openxmlformats.org/officeDocument/2006/relationships/hyperlink" Target="http://www.unfpa.org/about-procurement#ZeroTole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nahub.org.ua/" TargetMode="External"/><Relationship Id="rId14" Type="http://schemas.openxmlformats.org/officeDocument/2006/relationships/hyperlink" Target="https://www.facebook.com/profile.php?id=100085691267744" TargetMode="External"/><Relationship Id="rId22" Type="http://schemas.openxmlformats.org/officeDocument/2006/relationships/hyperlink" Target="https://www.instagram.com/vona_hub/" TargetMode="External"/><Relationship Id="rId27" Type="http://schemas.openxmlformats.org/officeDocument/2006/relationships/hyperlink" Target="https://www.unfpa.org/sites/default/files/admin-resource/Eths_Fraud_policy.pdfcy-2009#overlay-context=node/10356/draft" TargetMode="External"/><Relationship Id="rId30" Type="http://schemas.openxmlformats.org/officeDocument/2006/relationships/hyperlink" Target="http://web2.unfpa.org/help/hotline.cfm" TargetMode="External"/><Relationship Id="rId35" Type="http://schemas.openxmlformats.org/officeDocument/2006/relationships/hyperlink" Target="http://www.unfpa.org/sites/default/files/resource-pdf/UNFPA%20General%20Conditions%20-%20De%20Minimis%20Contracts%20SP_0.pdf" TargetMode="External"/><Relationship Id="rId8" Type="http://schemas.openxmlformats.org/officeDocument/2006/relationships/hyperlink" Target="https://ukraine.unfpa.org/uk/%D0%BF%D1%80%D0%BE-%D0%BD%D0%B0%D1%81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p5cHrERAnHZQvulBtDRKAfMGiw==">CgMxLjAyDmguZ2JiYjNjMnlqbGRtMg5oLms2ejQ1bGV6NXV4czIOaC5xcjR6anNuN2x0c2cyDmguMnd4cGE0ejBsOXZzMg5oLnhkdzdiOWw2YXg5ajIOaC45Y2pqNGJmYnQzc2EyDmguNHB6czUzaHllYWV0Mg5oLmxoYjIweGM3c2I2ajIOaC50cjdtZGxheXczenQyDmgueDc4bnJpdXFnd2FzMg5oLmh2ZG5yZXljbTVoczIOaC42dXJxZjI3NWQ5dTcyDmguaDQ1M2N4bzlqN2txMghoLmdqZGd4czgAciExdGlOeGs3NlNBcjhobGczR3gwc2JCd3FSbi0tdWxNT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3814</Words>
  <Characters>21740</Characters>
  <Application>Microsoft Office Word</Application>
  <DocSecurity>0</DocSecurity>
  <Lines>181</Lines>
  <Paragraphs>51</Paragraphs>
  <ScaleCrop>false</ScaleCrop>
  <Company/>
  <LinksUpToDate>false</LinksUpToDate>
  <CharactersWithSpaces>25503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PUHACHOV, Valentyn</dc:creator>
  <cp:lastModifiedBy>IT</cp:lastModifiedBy>
  <cp:revision>2</cp:revision>
  <dcterms:created xsi:type="dcterms:W3CDTF">2022-11-15T11:35:00Z</dcterms:created>
  <dcterms:modified xsi:type="dcterms:W3CDTF">2023-07-13T13:11:00Z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ECCC64688A5344189AF22419652293B4</vt:lpwstr>
  </property>
</Properties>
</file>