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E3CEF9" w14:textId="77777777" w:rsidR="005C4D7D" w:rsidRDefault="005C4D7D">
      <w:pPr>
        <w:tabs>
          <w:tab w:val="left" w:pos="5400"/>
        </w:tabs>
        <w:spacing w:after="0" w:line="240" w:lineRule="auto"/>
        <w:jc w:val="right"/>
      </w:pPr>
    </w:p>
    <w:p w14:paraId="1E8812E1" w14:textId="1D767069" w:rsidR="005C4D7D" w:rsidRDefault="00166916">
      <w:pPr>
        <w:tabs>
          <w:tab w:val="left" w:pos="5400"/>
        </w:tabs>
        <w:spacing w:after="0" w:line="240" w:lineRule="auto"/>
        <w:jc w:val="right"/>
      </w:pPr>
      <w:bookmarkStart w:id="0" w:name="_heading=h.gjdgxs" w:colFirst="0" w:colLast="0"/>
      <w:bookmarkEnd w:id="0"/>
      <w:r>
        <w:t>Дата:</w:t>
      </w:r>
      <w:r w:rsidR="003F1B69">
        <w:t xml:space="preserve"> </w:t>
      </w:r>
      <w:r w:rsidR="007F1505">
        <w:rPr>
          <w:lang w:val="en-US"/>
        </w:rPr>
        <w:t>18</w:t>
      </w:r>
      <w:r w:rsidR="002175C0">
        <w:t xml:space="preserve"> липня 2022 </w:t>
      </w:r>
    </w:p>
    <w:p w14:paraId="65491535" w14:textId="77777777" w:rsidR="005C4D7D" w:rsidRDefault="005C4D7D">
      <w:pPr>
        <w:tabs>
          <w:tab w:val="left" w:pos="-180"/>
          <w:tab w:val="right" w:pos="1980"/>
          <w:tab w:val="left" w:pos="2160"/>
          <w:tab w:val="left" w:pos="4320"/>
        </w:tabs>
        <w:spacing w:after="0" w:line="240" w:lineRule="auto"/>
      </w:pPr>
    </w:p>
    <w:p w14:paraId="3FBF796E" w14:textId="77777777" w:rsidR="005C4D7D" w:rsidRDefault="005C4D7D">
      <w:pPr>
        <w:tabs>
          <w:tab w:val="left" w:pos="-180"/>
          <w:tab w:val="right" w:pos="1980"/>
          <w:tab w:val="left" w:pos="2160"/>
          <w:tab w:val="left" w:pos="4320"/>
        </w:tabs>
        <w:spacing w:after="0" w:line="240" w:lineRule="auto"/>
        <w:rPr>
          <w:b/>
        </w:rPr>
      </w:pPr>
    </w:p>
    <w:p w14:paraId="2FA24F5F" w14:textId="77777777" w:rsidR="005C4D7D" w:rsidRDefault="00166916">
      <w:pPr>
        <w:tabs>
          <w:tab w:val="left" w:pos="-180"/>
          <w:tab w:val="right" w:pos="1980"/>
          <w:tab w:val="left" w:pos="2160"/>
          <w:tab w:val="left" w:pos="4320"/>
        </w:tabs>
        <w:spacing w:after="0" w:line="240" w:lineRule="auto"/>
        <w:rPr>
          <w:b/>
        </w:rPr>
      </w:pPr>
      <w:r>
        <w:rPr>
          <w:b/>
        </w:rPr>
        <w:t>Затверджено:</w:t>
      </w:r>
    </w:p>
    <w:p w14:paraId="00CBC443" w14:textId="77777777" w:rsidR="005C4D7D" w:rsidRDefault="00166916">
      <w:pPr>
        <w:tabs>
          <w:tab w:val="left" w:pos="-180"/>
          <w:tab w:val="right" w:pos="1980"/>
          <w:tab w:val="left" w:pos="2160"/>
          <w:tab w:val="left" w:pos="4320"/>
        </w:tabs>
        <w:spacing w:after="0" w:line="240" w:lineRule="auto"/>
        <w:rPr>
          <w:b/>
        </w:rPr>
      </w:pPr>
      <w:r>
        <w:rPr>
          <w:b/>
        </w:rPr>
        <w:t>п. Хайме Надаль</w:t>
      </w:r>
    </w:p>
    <w:p w14:paraId="2434DC2A" w14:textId="77777777" w:rsidR="005C4D7D" w:rsidRDefault="00166916">
      <w:pPr>
        <w:tabs>
          <w:tab w:val="left" w:pos="-180"/>
          <w:tab w:val="right" w:pos="1980"/>
          <w:tab w:val="left" w:pos="2160"/>
          <w:tab w:val="left" w:pos="4320"/>
        </w:tabs>
        <w:spacing w:after="0" w:line="240" w:lineRule="auto"/>
        <w:rPr>
          <w:b/>
        </w:rPr>
      </w:pPr>
      <w:r>
        <w:rPr>
          <w:b/>
        </w:rPr>
        <w:t>Представник Фонду ООН у галузі народонаселення</w:t>
      </w:r>
    </w:p>
    <w:p w14:paraId="1AEEF5FA" w14:textId="77777777" w:rsidR="005C4D7D" w:rsidRDefault="005C4D7D">
      <w:pPr>
        <w:tabs>
          <w:tab w:val="right" w:pos="1980"/>
          <w:tab w:val="left" w:pos="2160"/>
          <w:tab w:val="left" w:pos="4320"/>
          <w:tab w:val="left" w:pos="-180"/>
        </w:tabs>
        <w:spacing w:after="0" w:line="240" w:lineRule="auto"/>
      </w:pPr>
    </w:p>
    <w:p w14:paraId="5C5F3812" w14:textId="77777777" w:rsidR="005C4D7D" w:rsidRDefault="005C4D7D">
      <w:pPr>
        <w:spacing w:after="0" w:line="240" w:lineRule="auto"/>
        <w:jc w:val="center"/>
        <w:rPr>
          <w:b/>
        </w:rPr>
      </w:pPr>
    </w:p>
    <w:p w14:paraId="4BF6EE3B" w14:textId="77777777" w:rsidR="005C4D7D" w:rsidRDefault="00166916">
      <w:pPr>
        <w:spacing w:after="0" w:line="240" w:lineRule="auto"/>
        <w:jc w:val="center"/>
        <w:rPr>
          <w:b/>
        </w:rPr>
      </w:pPr>
      <w:r>
        <w:rPr>
          <w:b/>
        </w:rPr>
        <w:t xml:space="preserve">ЗАПИТ НА ПОДАННЯ ПРОПОЗИЦІЙ </w:t>
      </w:r>
    </w:p>
    <w:p w14:paraId="5B1E2DF1" w14:textId="13DB8B79" w:rsidR="005C4D7D" w:rsidRPr="00315FC5" w:rsidRDefault="00166916">
      <w:pPr>
        <w:spacing w:after="0" w:line="240" w:lineRule="auto"/>
        <w:jc w:val="center"/>
        <w:rPr>
          <w:b/>
          <w:lang w:val="en-US"/>
        </w:rPr>
      </w:pPr>
      <w:r>
        <w:rPr>
          <w:b/>
        </w:rPr>
        <w:t>RFQ Nº UNFPA/UKR/RFQ/2</w:t>
      </w:r>
      <w:r w:rsidR="00A032D6">
        <w:rPr>
          <w:b/>
        </w:rPr>
        <w:t>2</w:t>
      </w:r>
      <w:r>
        <w:rPr>
          <w:b/>
        </w:rPr>
        <w:t>/</w:t>
      </w:r>
      <w:r w:rsidR="00315FC5">
        <w:rPr>
          <w:b/>
          <w:lang w:val="en-US"/>
        </w:rPr>
        <w:t>17</w:t>
      </w:r>
    </w:p>
    <w:p w14:paraId="2FD54E98" w14:textId="77777777" w:rsidR="005C4D7D" w:rsidRDefault="005C4D7D">
      <w:pPr>
        <w:spacing w:after="0" w:line="240" w:lineRule="auto"/>
        <w:jc w:val="center"/>
        <w:rPr>
          <w:b/>
        </w:rPr>
      </w:pPr>
    </w:p>
    <w:p w14:paraId="2534E11B" w14:textId="77777777" w:rsidR="005C4D7D" w:rsidRDefault="00166916">
      <w:pPr>
        <w:tabs>
          <w:tab w:val="left" w:pos="720"/>
          <w:tab w:val="left" w:pos="1620"/>
          <w:tab w:val="left" w:pos="2250"/>
          <w:tab w:val="left" w:pos="2880"/>
          <w:tab w:val="left" w:pos="3600"/>
          <w:tab w:val="left" w:pos="4410"/>
          <w:tab w:val="left" w:pos="5040"/>
          <w:tab w:val="left" w:pos="5760"/>
          <w:tab w:val="left" w:pos="6480"/>
          <w:tab w:val="left" w:pos="7290"/>
          <w:tab w:val="left" w:pos="7920"/>
          <w:tab w:val="left" w:pos="-180"/>
          <w:tab w:val="left" w:pos="-90"/>
        </w:tabs>
        <w:spacing w:after="0" w:line="240" w:lineRule="auto"/>
      </w:pPr>
      <w:r>
        <w:t>Шановні пані / панове,</w:t>
      </w:r>
    </w:p>
    <w:p w14:paraId="78AC9203" w14:textId="77777777" w:rsidR="005C4D7D" w:rsidRDefault="005C4D7D">
      <w:pPr>
        <w:tabs>
          <w:tab w:val="left" w:pos="720"/>
          <w:tab w:val="left" w:pos="1620"/>
          <w:tab w:val="left" w:pos="2250"/>
          <w:tab w:val="left" w:pos="2880"/>
          <w:tab w:val="left" w:pos="3600"/>
          <w:tab w:val="left" w:pos="4410"/>
          <w:tab w:val="left" w:pos="5040"/>
          <w:tab w:val="left" w:pos="5760"/>
          <w:tab w:val="left" w:pos="6480"/>
          <w:tab w:val="left" w:pos="7290"/>
          <w:tab w:val="left" w:pos="7920"/>
          <w:tab w:val="left" w:pos="-180"/>
          <w:tab w:val="left" w:pos="-90"/>
        </w:tabs>
        <w:spacing w:after="0" w:line="240" w:lineRule="auto"/>
      </w:pPr>
    </w:p>
    <w:p w14:paraId="0F6A68B1" w14:textId="77777777" w:rsidR="005C4D7D" w:rsidRDefault="00166916">
      <w:pPr>
        <w:spacing w:after="0" w:line="240" w:lineRule="auto"/>
        <w:jc w:val="both"/>
      </w:pPr>
      <w:r>
        <w:t>Фонд ООН у галузі народонаселення запрошує Вас надати цінову пропозицію на наступні послуги:</w:t>
      </w:r>
    </w:p>
    <w:p w14:paraId="003EFB7D" w14:textId="77777777" w:rsidR="005C4D7D" w:rsidRDefault="005C4D7D">
      <w:pPr>
        <w:spacing w:after="0" w:line="240" w:lineRule="auto"/>
        <w:jc w:val="both"/>
      </w:pPr>
    </w:p>
    <w:p w14:paraId="0B428BD5" w14:textId="77777777" w:rsidR="005C4D7D" w:rsidRDefault="002175C0">
      <w:pPr>
        <w:spacing w:after="0" w:line="240" w:lineRule="auto"/>
        <w:jc w:val="center"/>
        <w:rPr>
          <w:b/>
        </w:rPr>
      </w:pPr>
      <w:r>
        <w:rPr>
          <w:b/>
        </w:rPr>
        <w:t xml:space="preserve">Розробка стратегії просування роботи гарячої лінії </w:t>
      </w:r>
      <w:r w:rsidR="00A032D6">
        <w:rPr>
          <w:b/>
        </w:rPr>
        <w:t>та її реалізація</w:t>
      </w:r>
    </w:p>
    <w:p w14:paraId="12FB1E4F" w14:textId="77777777" w:rsidR="005C4D7D" w:rsidRDefault="005C4D7D">
      <w:pPr>
        <w:tabs>
          <w:tab w:val="left" w:pos="720"/>
          <w:tab w:val="left" w:pos="1620"/>
          <w:tab w:val="left" w:pos="2250"/>
          <w:tab w:val="left" w:pos="2880"/>
          <w:tab w:val="left" w:pos="3600"/>
          <w:tab w:val="left" w:pos="4410"/>
          <w:tab w:val="left" w:pos="5040"/>
          <w:tab w:val="left" w:pos="5760"/>
          <w:tab w:val="left" w:pos="6480"/>
          <w:tab w:val="left" w:pos="7290"/>
          <w:tab w:val="left" w:pos="7920"/>
          <w:tab w:val="left" w:pos="-180"/>
          <w:tab w:val="left" w:pos="-90"/>
        </w:tabs>
        <w:spacing w:after="0" w:line="240" w:lineRule="auto"/>
        <w:jc w:val="both"/>
      </w:pPr>
    </w:p>
    <w:p w14:paraId="46C679D5" w14:textId="77777777" w:rsidR="005C4D7D" w:rsidRDefault="00166916">
      <w:pPr>
        <w:tabs>
          <w:tab w:val="left" w:pos="720"/>
          <w:tab w:val="left" w:pos="1620"/>
          <w:tab w:val="left" w:pos="2250"/>
          <w:tab w:val="left" w:pos="2880"/>
          <w:tab w:val="left" w:pos="3600"/>
          <w:tab w:val="left" w:pos="4410"/>
          <w:tab w:val="left" w:pos="5040"/>
          <w:tab w:val="left" w:pos="5760"/>
          <w:tab w:val="left" w:pos="6480"/>
          <w:tab w:val="left" w:pos="7290"/>
          <w:tab w:val="left" w:pos="7920"/>
          <w:tab w:val="left" w:pos="-180"/>
          <w:tab w:val="left" w:pos="-90"/>
        </w:tabs>
        <w:spacing w:after="0" w:line="240" w:lineRule="auto"/>
        <w:jc w:val="both"/>
      </w:pPr>
      <w:r>
        <w:t>Цей запит відкритий для всіх юридично зареєстрованих компаній в Україні, які можуть надавати належні послуги та володіють правоздатністю постачати/виконувати дані послуги в Україні, або через уповноважених представників.</w:t>
      </w:r>
    </w:p>
    <w:p w14:paraId="473CB35D" w14:textId="77777777" w:rsidR="005C4D7D" w:rsidRDefault="005C4D7D">
      <w:pPr>
        <w:tabs>
          <w:tab w:val="right" w:pos="1980"/>
          <w:tab w:val="left" w:pos="2160"/>
          <w:tab w:val="left" w:pos="4320"/>
          <w:tab w:val="left" w:pos="-180"/>
        </w:tabs>
        <w:spacing w:after="0" w:line="240" w:lineRule="auto"/>
        <w:rPr>
          <w:b/>
        </w:rPr>
      </w:pPr>
    </w:p>
    <w:p w14:paraId="7EB9C3CF" w14:textId="77777777" w:rsidR="005C4D7D" w:rsidRDefault="00166916">
      <w:pPr>
        <w:spacing w:after="0" w:line="240" w:lineRule="auto"/>
        <w:jc w:val="both"/>
        <w:rPr>
          <w:b/>
        </w:rPr>
      </w:pPr>
      <w:r>
        <w:rPr>
          <w:b/>
        </w:rPr>
        <w:t>І. Про UNFPA</w:t>
      </w:r>
    </w:p>
    <w:p w14:paraId="3799D1EA" w14:textId="77777777" w:rsidR="005C4D7D" w:rsidRDefault="005C4D7D">
      <w:pPr>
        <w:spacing w:after="0" w:line="240" w:lineRule="auto"/>
        <w:ind w:left="360"/>
        <w:jc w:val="both"/>
        <w:rPr>
          <w:b/>
        </w:rPr>
      </w:pPr>
    </w:p>
    <w:p w14:paraId="2316BF46" w14:textId="0F137B98" w:rsidR="005C4D7D" w:rsidRDefault="00166916">
      <w:pPr>
        <w:tabs>
          <w:tab w:val="left" w:pos="720"/>
          <w:tab w:val="left" w:pos="1620"/>
          <w:tab w:val="left" w:pos="2250"/>
          <w:tab w:val="left" w:pos="2880"/>
          <w:tab w:val="left" w:pos="3600"/>
          <w:tab w:val="left" w:pos="4410"/>
          <w:tab w:val="left" w:pos="5040"/>
          <w:tab w:val="left" w:pos="5760"/>
          <w:tab w:val="left" w:pos="6480"/>
          <w:tab w:val="left" w:pos="7290"/>
          <w:tab w:val="left" w:pos="7920"/>
          <w:tab w:val="left" w:pos="-180"/>
          <w:tab w:val="left" w:pos="-90"/>
        </w:tabs>
        <w:spacing w:after="0" w:line="240" w:lineRule="auto"/>
        <w:jc w:val="both"/>
      </w:pPr>
      <w:r>
        <w:tab/>
        <w:t>UNFPA, Фонд ООН у галузі народонаселення,</w:t>
      </w:r>
      <w:r w:rsidR="003F1B69">
        <w:t xml:space="preserve"> </w:t>
      </w:r>
      <w:r>
        <w:t>є міжнародною агенцію з розвитку, метою котрої є забезпечення та існування такого світу, в якому кожна вагітність бажана, кожні пологи безпечні та кожна молода людина може реалізувати свій потенціал.</w:t>
      </w:r>
      <w:r w:rsidR="003F1B69">
        <w:t xml:space="preserve"> </w:t>
      </w:r>
    </w:p>
    <w:p w14:paraId="3AB49BEC" w14:textId="77777777" w:rsidR="005C4D7D" w:rsidRDefault="00166916">
      <w:pPr>
        <w:tabs>
          <w:tab w:val="left" w:pos="720"/>
          <w:tab w:val="left" w:pos="1620"/>
          <w:tab w:val="left" w:pos="2250"/>
          <w:tab w:val="left" w:pos="2880"/>
          <w:tab w:val="left" w:pos="3600"/>
          <w:tab w:val="left" w:pos="4410"/>
          <w:tab w:val="left" w:pos="5040"/>
          <w:tab w:val="left" w:pos="5760"/>
          <w:tab w:val="left" w:pos="6480"/>
          <w:tab w:val="left" w:pos="7290"/>
          <w:tab w:val="left" w:pos="7920"/>
          <w:tab w:val="left" w:pos="-180"/>
          <w:tab w:val="left" w:pos="-90"/>
        </w:tabs>
        <w:spacing w:after="0" w:line="240" w:lineRule="auto"/>
        <w:jc w:val="both"/>
      </w:pPr>
      <w:r>
        <w:tab/>
        <w:t xml:space="preserve">UNFPA є провідною установою ООН, яка сприяє реалізації права кожної жінки, чоловіка та дитини на здорове життя та рівні можливості. Для отримання більш детальної інформації щодо діяльності Фонду, звертайтеся, будь-ласка, до веб-сайту: </w:t>
      </w:r>
      <w:r w:rsidR="00495746">
        <w:rPr>
          <w:color w:val="0070C0"/>
          <w:u w:val="single"/>
        </w:rPr>
        <w:fldChar w:fldCharType="begin"/>
      </w:r>
      <w:r w:rsidR="00495746">
        <w:rPr>
          <w:color w:val="0070C0"/>
          <w:u w:val="single"/>
        </w:rPr>
        <w:instrText xml:space="preserve"> HYPERLINK "http://www.unfpa.org/about-us" \h </w:instrText>
      </w:r>
      <w:r w:rsidR="00495746">
        <w:rPr>
          <w:color w:val="0070C0"/>
          <w:u w:val="single"/>
        </w:rPr>
        <w:fldChar w:fldCharType="separate"/>
      </w:r>
      <w:r>
        <w:rPr>
          <w:color w:val="0070C0"/>
          <w:u w:val="single"/>
        </w:rPr>
        <w:t>UNFPA about us</w:t>
      </w:r>
      <w:r w:rsidR="00495746">
        <w:rPr>
          <w:color w:val="0070C0"/>
          <w:u w:val="single"/>
        </w:rPr>
        <w:fldChar w:fldCharType="end"/>
      </w:r>
      <w:r>
        <w:rPr>
          <w:color w:val="0070C0"/>
          <w:u w:val="single"/>
        </w:rPr>
        <w:t>.</w:t>
      </w:r>
    </w:p>
    <w:p w14:paraId="3DCE8F1E" w14:textId="77777777" w:rsidR="005C4D7D" w:rsidRDefault="005C4D7D">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pPr>
    </w:p>
    <w:p w14:paraId="38553855" w14:textId="77777777" w:rsidR="005C4D7D" w:rsidRDefault="00166916">
      <w:pPr>
        <w:spacing w:after="0" w:line="240" w:lineRule="auto"/>
        <w:rPr>
          <w:b/>
        </w:rPr>
      </w:pPr>
      <w:r>
        <w:rPr>
          <w:b/>
        </w:rPr>
        <w:t>Технічне завдання (ТЗ)</w:t>
      </w:r>
    </w:p>
    <w:p w14:paraId="385EE4D4" w14:textId="77777777" w:rsidR="005C4D7D" w:rsidRDefault="005C4D7D">
      <w:pPr>
        <w:spacing w:after="0" w:line="240" w:lineRule="auto"/>
        <w:rPr>
          <w:b/>
        </w:rPr>
      </w:pPr>
    </w:p>
    <w:p w14:paraId="2B7D6B97" w14:textId="77777777" w:rsidR="005C4D7D" w:rsidRDefault="00166916">
      <w:pPr>
        <w:spacing w:after="0" w:line="240" w:lineRule="auto"/>
        <w:jc w:val="both"/>
        <w:rPr>
          <w:b/>
        </w:rPr>
      </w:pPr>
      <w:r>
        <w:rPr>
          <w:b/>
        </w:rPr>
        <w:t>Передумови та опис програми</w:t>
      </w:r>
    </w:p>
    <w:p w14:paraId="059539C7" w14:textId="77777777" w:rsidR="00342914" w:rsidRDefault="00582C13" w:rsidP="005A2EC3">
      <w:pPr>
        <w:spacing w:after="0" w:line="240" w:lineRule="auto"/>
        <w:ind w:firstLine="720"/>
        <w:jc w:val="both"/>
      </w:pPr>
      <w:r>
        <w:t xml:space="preserve">Із 2021 року </w:t>
      </w:r>
      <w:r>
        <w:rPr>
          <w:lang w:val="en-US"/>
        </w:rPr>
        <w:t>UNFPA</w:t>
      </w:r>
      <w:r w:rsidRPr="007F244A">
        <w:rPr>
          <w:lang w:val="ru-RU"/>
        </w:rPr>
        <w:t xml:space="preserve"> </w:t>
      </w:r>
      <w:r>
        <w:rPr>
          <w:lang w:val="ru-RU"/>
        </w:rPr>
        <w:t>Укра</w:t>
      </w:r>
      <w:r>
        <w:t>їна ре</w:t>
      </w:r>
      <w:r w:rsidR="007F244A">
        <w:rPr>
          <w:lang w:val="ru-RU"/>
        </w:rPr>
        <w:t>ал</w:t>
      </w:r>
      <w:r w:rsidR="00447C6F">
        <w:t xml:space="preserve">ізує компонент </w:t>
      </w:r>
      <w:r w:rsidR="007F244A">
        <w:t>спрямований на запобігання домашньому та гендерно зумовленому насильству</w:t>
      </w:r>
      <w:r w:rsidR="00447C6F">
        <w:t xml:space="preserve">. </w:t>
      </w:r>
      <w:r w:rsidR="005A2EC3">
        <w:t xml:space="preserve">Зокрема, активності проєкту спрямовані на підвищення обізнаності про здорові та токсичні </w:t>
      </w:r>
      <w:r w:rsidR="00DB68B0">
        <w:t xml:space="preserve">стосунки, </w:t>
      </w:r>
      <w:r w:rsidR="005A2EC3">
        <w:t>навчання молоді і дорослих</w:t>
      </w:r>
      <w:r w:rsidR="00A032D6" w:rsidRPr="00A032D6">
        <w:t xml:space="preserve"> щодо того як розр</w:t>
      </w:r>
      <w:r w:rsidR="00A032D6">
        <w:t>ізнити перші прояви насильства у стосун</w:t>
      </w:r>
      <w:r w:rsidR="00DB68B0">
        <w:t>ках та як діяти у таких ситуаціях.</w:t>
      </w:r>
    </w:p>
    <w:p w14:paraId="48D64A6E" w14:textId="77777777" w:rsidR="00447C6F" w:rsidRDefault="005A2EC3" w:rsidP="00A032D6">
      <w:pPr>
        <w:spacing w:after="0" w:line="240" w:lineRule="auto"/>
        <w:ind w:firstLine="720"/>
        <w:jc w:val="both"/>
      </w:pPr>
      <w:r>
        <w:t>Травматичні події</w:t>
      </w:r>
      <w:r w:rsidR="00A032D6">
        <w:t xml:space="preserve"> спричинені повномасштабним воєнним вторгненням </w:t>
      </w:r>
      <w:r w:rsidR="00DB68B0">
        <w:t xml:space="preserve">росії </w:t>
      </w:r>
      <w:r w:rsidR="00A032D6">
        <w:t xml:space="preserve">створили </w:t>
      </w:r>
      <w:r>
        <w:t>постійний стрес для усього суспільства. Від психо</w:t>
      </w:r>
      <w:r w:rsidR="00DB68B0">
        <w:t xml:space="preserve">логічної травми, що спричинена війною, </w:t>
      </w:r>
      <w:r>
        <w:t>стр</w:t>
      </w:r>
      <w:r w:rsidR="00A032D6">
        <w:t>аж</w:t>
      </w:r>
      <w:r>
        <w:t>д</w:t>
      </w:r>
      <w:r w:rsidR="00A032D6">
        <w:t>а</w:t>
      </w:r>
      <w:r>
        <w:t>ють діти, жінки та чоловіки. Зак</w:t>
      </w:r>
      <w:r w:rsidR="00A032D6">
        <w:t>ономірно, що негативні емоції залишають і відбиток як на психологічному благополуччі індивід</w:t>
      </w:r>
      <w:r w:rsidR="00DB68B0">
        <w:t>ів</w:t>
      </w:r>
      <w:r w:rsidR="00A032D6">
        <w:t xml:space="preserve"> так і на міжособистісних стосунках. </w:t>
      </w:r>
    </w:p>
    <w:p w14:paraId="5FF22E35" w14:textId="77777777" w:rsidR="002175C0" w:rsidRDefault="002175C0" w:rsidP="002175C0">
      <w:pPr>
        <w:spacing w:after="0" w:line="240" w:lineRule="auto"/>
        <w:ind w:firstLine="720"/>
        <w:jc w:val="both"/>
      </w:pPr>
      <w:r>
        <w:t xml:space="preserve">У 2022 році UNFPA </w:t>
      </w:r>
      <w:r w:rsidRPr="002175C0">
        <w:t>Укра</w:t>
      </w:r>
      <w:r>
        <w:t>їна запускає першу національну гарячу лінію для чоловіків. Мета сервісу: надання першої психологічної допомоги чоловікам віком від 18 років щодо проблем пов’язаних із особистим ментальним благополуччям та міжособистісними стосунками.</w:t>
      </w:r>
    </w:p>
    <w:p w14:paraId="68E395B2" w14:textId="77777777" w:rsidR="002175C0" w:rsidRDefault="002175C0" w:rsidP="002175C0">
      <w:pPr>
        <w:spacing w:after="0" w:line="240" w:lineRule="auto"/>
        <w:ind w:firstLine="720"/>
        <w:jc w:val="both"/>
      </w:pPr>
      <w:r>
        <w:t xml:space="preserve">Психологи консультуватимуть та/або перенаправлятимуть до інших профільних служб щодо різноманітних проблем, зокрема, щодо </w:t>
      </w:r>
      <w:r w:rsidR="00DB68B0">
        <w:t xml:space="preserve">питань </w:t>
      </w:r>
      <w:r>
        <w:t>емоційного стану</w:t>
      </w:r>
      <w:r w:rsidR="00DB68B0">
        <w:t xml:space="preserve"> (</w:t>
      </w:r>
      <w:r>
        <w:t xml:space="preserve">тривожність, депресії, складність у контролюванні гніву, </w:t>
      </w:r>
      <w:r w:rsidR="00DB68B0">
        <w:t>ідентифікація ПТСР), домашнього насильства</w:t>
      </w:r>
      <w:r>
        <w:t>, стосун</w:t>
      </w:r>
      <w:r w:rsidR="00DB68B0">
        <w:t>ків</w:t>
      </w:r>
      <w:r>
        <w:t xml:space="preserve"> із близькими людьми</w:t>
      </w:r>
      <w:r w:rsidR="00DB68B0">
        <w:t xml:space="preserve">, горя і втрати та самотності. </w:t>
      </w:r>
    </w:p>
    <w:p w14:paraId="7DF2C3D3" w14:textId="77777777" w:rsidR="002175C0" w:rsidRDefault="002175C0" w:rsidP="00FC22B4">
      <w:pPr>
        <w:spacing w:after="0" w:line="240" w:lineRule="auto"/>
        <w:ind w:firstLine="720"/>
        <w:jc w:val="both"/>
      </w:pPr>
      <w:r>
        <w:t xml:space="preserve">Гаряча лінія </w:t>
      </w:r>
      <w:r w:rsidR="00FC22B4">
        <w:t>стане</w:t>
      </w:r>
      <w:r>
        <w:t xml:space="preserve"> для </w:t>
      </w:r>
      <w:r w:rsidR="00DB68B0">
        <w:t xml:space="preserve">усіх </w:t>
      </w:r>
      <w:r>
        <w:t>чоловіків безпечним та приватним місцем, щоб поговорити про проблему, отримати первинну психологічну допомогу</w:t>
      </w:r>
      <w:r w:rsidR="00DB68B0">
        <w:rPr>
          <w:lang w:val="ru-RU"/>
        </w:rPr>
        <w:t xml:space="preserve"> </w:t>
      </w:r>
      <w:r w:rsidR="00DB68B0">
        <w:t xml:space="preserve">і за потреби </w:t>
      </w:r>
      <w:r>
        <w:t>дізнатися контакти інших профільних служб підтримки для більш глибоког</w:t>
      </w:r>
      <w:r w:rsidR="00FC22B4">
        <w:t>о вирішення конкретних запитів. Працюватиме лінія на засадах к</w:t>
      </w:r>
      <w:r>
        <w:t>онфіденційн</w:t>
      </w:r>
      <w:r w:rsidR="00FC22B4">
        <w:t xml:space="preserve">ості та анонімності. </w:t>
      </w:r>
    </w:p>
    <w:p w14:paraId="654F60A6" w14:textId="77777777" w:rsidR="001E4FF0" w:rsidRPr="002175C0" w:rsidRDefault="001E4FF0" w:rsidP="00FC22B4">
      <w:pPr>
        <w:spacing w:after="0" w:line="240" w:lineRule="auto"/>
        <w:ind w:firstLine="720"/>
        <w:jc w:val="both"/>
      </w:pPr>
      <w:r>
        <w:lastRenderedPageBreak/>
        <w:t xml:space="preserve">Орієнтовний час запуску роботи лінії – </w:t>
      </w:r>
      <w:r w:rsidR="00DB68B0">
        <w:t>20 серпня</w:t>
      </w:r>
      <w:r>
        <w:t>-</w:t>
      </w:r>
      <w:r w:rsidR="00DB68B0">
        <w:t xml:space="preserve">5 </w:t>
      </w:r>
      <w:r>
        <w:t>верес</w:t>
      </w:r>
      <w:r w:rsidR="00DB68B0">
        <w:t>ня</w:t>
      </w:r>
      <w:r>
        <w:t xml:space="preserve"> 2022 року. </w:t>
      </w:r>
    </w:p>
    <w:p w14:paraId="313BA8D5" w14:textId="77777777" w:rsidR="005C4D7D" w:rsidRDefault="005C4D7D">
      <w:pPr>
        <w:spacing w:after="0" w:line="240" w:lineRule="auto"/>
        <w:ind w:firstLine="720"/>
        <w:jc w:val="both"/>
      </w:pPr>
    </w:p>
    <w:p w14:paraId="58C8B5C4" w14:textId="77777777" w:rsidR="005C4D7D" w:rsidRDefault="00166916">
      <w:pPr>
        <w:spacing w:after="0" w:line="240" w:lineRule="auto"/>
        <w:jc w:val="both"/>
        <w:rPr>
          <w:b/>
        </w:rPr>
      </w:pPr>
      <w:r>
        <w:rPr>
          <w:b/>
        </w:rPr>
        <w:t>II. Методологія</w:t>
      </w:r>
    </w:p>
    <w:p w14:paraId="26F1F77F" w14:textId="77777777" w:rsidR="005C4D7D" w:rsidRDefault="005C4D7D">
      <w:pPr>
        <w:spacing w:after="0" w:line="240" w:lineRule="auto"/>
        <w:jc w:val="both"/>
        <w:rPr>
          <w:b/>
        </w:rPr>
      </w:pPr>
    </w:p>
    <w:p w14:paraId="2BB08E11" w14:textId="77777777" w:rsidR="005C4D7D" w:rsidRDefault="00166916">
      <w:pPr>
        <w:spacing w:after="0" w:line="240" w:lineRule="auto"/>
        <w:jc w:val="both"/>
        <w:rPr>
          <w:b/>
        </w:rPr>
      </w:pPr>
      <w:r>
        <w:rPr>
          <w:b/>
        </w:rPr>
        <w:t>Обсяг роботи</w:t>
      </w:r>
    </w:p>
    <w:p w14:paraId="2F46EE3B" w14:textId="77777777" w:rsidR="005C4D7D" w:rsidRDefault="00DB68B0" w:rsidP="00DB68B0">
      <w:pPr>
        <w:spacing w:after="0" w:line="240" w:lineRule="auto"/>
        <w:jc w:val="both"/>
      </w:pPr>
      <w:r>
        <w:t>Очікується, що обраний постачальний послуг:</w:t>
      </w:r>
    </w:p>
    <w:p w14:paraId="4F2E0EEC" w14:textId="77777777" w:rsidR="00DB68B0" w:rsidRDefault="00DB68B0" w:rsidP="00DB68B0">
      <w:pPr>
        <w:spacing w:after="0" w:line="240" w:lineRule="auto"/>
        <w:jc w:val="both"/>
      </w:pPr>
    </w:p>
    <w:p w14:paraId="34FF4422" w14:textId="77777777" w:rsidR="00FC22B4" w:rsidRDefault="00DB68B0" w:rsidP="00DB68B0">
      <w:pPr>
        <w:pBdr>
          <w:top w:val="nil"/>
          <w:left w:val="nil"/>
          <w:bottom w:val="nil"/>
          <w:right w:val="nil"/>
          <w:between w:val="nil"/>
        </w:pBdr>
        <w:spacing w:after="0" w:line="240" w:lineRule="auto"/>
        <w:jc w:val="both"/>
      </w:pPr>
      <w:r>
        <w:rPr>
          <w:b/>
          <w:color w:val="000000"/>
          <w:u w:val="single"/>
        </w:rPr>
        <w:t xml:space="preserve">1. </w:t>
      </w:r>
      <w:r w:rsidR="00FC22B4">
        <w:rPr>
          <w:b/>
          <w:color w:val="000000"/>
          <w:u w:val="single"/>
        </w:rPr>
        <w:t>Р</w:t>
      </w:r>
      <w:r w:rsidR="00166916" w:rsidRPr="00FC22B4">
        <w:rPr>
          <w:b/>
          <w:color w:val="000000"/>
          <w:u w:val="single"/>
        </w:rPr>
        <w:t xml:space="preserve">озробить </w:t>
      </w:r>
      <w:r w:rsidR="00FC22B4" w:rsidRPr="00FC22B4">
        <w:rPr>
          <w:b/>
          <w:color w:val="000000"/>
          <w:u w:val="single"/>
        </w:rPr>
        <w:t>стратегію запуску та просування</w:t>
      </w:r>
      <w:r w:rsidR="00FC22B4" w:rsidRPr="00FC22B4">
        <w:rPr>
          <w:b/>
          <w:color w:val="000000"/>
        </w:rPr>
        <w:t xml:space="preserve"> </w:t>
      </w:r>
      <w:r w:rsidR="00FC22B4" w:rsidRPr="00FC22B4">
        <w:rPr>
          <w:color w:val="000000"/>
        </w:rPr>
        <w:t>роботи гарячої лінії</w:t>
      </w:r>
      <w:r>
        <w:rPr>
          <w:color w:val="000000"/>
        </w:rPr>
        <w:t xml:space="preserve"> </w:t>
      </w:r>
      <w:r>
        <w:t>(далі – ГЛ)</w:t>
      </w:r>
      <w:r w:rsidR="00FC22B4">
        <w:rPr>
          <w:color w:val="000000"/>
        </w:rPr>
        <w:t xml:space="preserve"> на період з серпня 2022 року </w:t>
      </w:r>
      <w:bookmarkStart w:id="1" w:name="_GoBack"/>
      <w:bookmarkEnd w:id="1"/>
      <w:r w:rsidR="00FC22B4" w:rsidRPr="007F1505">
        <w:rPr>
          <w:color w:val="000000"/>
        </w:rPr>
        <w:t xml:space="preserve">до </w:t>
      </w:r>
      <w:r w:rsidRPr="007F1505">
        <w:rPr>
          <w:color w:val="000000"/>
        </w:rPr>
        <w:t xml:space="preserve">31 </w:t>
      </w:r>
      <w:r w:rsidR="001E4FF0" w:rsidRPr="007F1505">
        <w:rPr>
          <w:color w:val="000000"/>
        </w:rPr>
        <w:t>березня 2023</w:t>
      </w:r>
      <w:r w:rsidR="00FC22B4" w:rsidRPr="007F1505">
        <w:rPr>
          <w:color w:val="000000"/>
        </w:rPr>
        <w:t xml:space="preserve"> року.</w:t>
      </w:r>
      <w:r w:rsidR="00FC22B4">
        <w:rPr>
          <w:color w:val="000000"/>
        </w:rPr>
        <w:t xml:space="preserve"> </w:t>
      </w:r>
    </w:p>
    <w:p w14:paraId="3FE5A25F" w14:textId="77777777" w:rsidR="00FC22B4" w:rsidRDefault="00FC22B4" w:rsidP="00FC22B4">
      <w:pPr>
        <w:pBdr>
          <w:top w:val="nil"/>
          <w:left w:val="nil"/>
          <w:bottom w:val="nil"/>
          <w:right w:val="nil"/>
          <w:between w:val="nil"/>
        </w:pBdr>
        <w:spacing w:after="0" w:line="240" w:lineRule="auto"/>
        <w:jc w:val="both"/>
      </w:pPr>
    </w:p>
    <w:p w14:paraId="6792DE11" w14:textId="77777777" w:rsidR="00FC22B4" w:rsidRDefault="00FC22B4" w:rsidP="00FC22B4">
      <w:pPr>
        <w:pBdr>
          <w:top w:val="nil"/>
          <w:left w:val="nil"/>
          <w:bottom w:val="nil"/>
          <w:right w:val="nil"/>
          <w:between w:val="nil"/>
        </w:pBdr>
        <w:spacing w:after="0" w:line="240" w:lineRule="auto"/>
        <w:jc w:val="both"/>
      </w:pPr>
      <w:r>
        <w:t>Стратегія має містити:</w:t>
      </w:r>
    </w:p>
    <w:p w14:paraId="085E1DED" w14:textId="77777777" w:rsidR="009614E7" w:rsidRPr="009614E7" w:rsidRDefault="009614E7" w:rsidP="001E4FF0">
      <w:pPr>
        <w:pStyle w:val="ListParagraph"/>
        <w:numPr>
          <w:ilvl w:val="0"/>
          <w:numId w:val="11"/>
        </w:numPr>
        <w:pBdr>
          <w:top w:val="nil"/>
          <w:left w:val="nil"/>
          <w:bottom w:val="nil"/>
          <w:right w:val="nil"/>
          <w:between w:val="nil"/>
        </w:pBdr>
        <w:spacing w:after="0" w:line="240" w:lineRule="auto"/>
        <w:jc w:val="both"/>
      </w:pPr>
      <w:r>
        <w:t xml:space="preserve">сформульовані </w:t>
      </w:r>
      <w:r>
        <w:rPr>
          <w:b/>
        </w:rPr>
        <w:t>цілі та завдання</w:t>
      </w:r>
      <w:r>
        <w:t xml:space="preserve">, детально описані </w:t>
      </w:r>
      <w:r w:rsidRPr="009614E7">
        <w:rPr>
          <w:b/>
        </w:rPr>
        <w:t>цільові групи та меседжі;</w:t>
      </w:r>
    </w:p>
    <w:p w14:paraId="1DAEC838" w14:textId="603262F0" w:rsidR="007E7722" w:rsidRDefault="00FC22B4" w:rsidP="001E4FF0">
      <w:pPr>
        <w:pStyle w:val="ListParagraph"/>
        <w:numPr>
          <w:ilvl w:val="0"/>
          <w:numId w:val="11"/>
        </w:numPr>
        <w:pBdr>
          <w:top w:val="nil"/>
          <w:left w:val="nil"/>
          <w:bottom w:val="nil"/>
          <w:right w:val="nil"/>
          <w:between w:val="nil"/>
        </w:pBdr>
        <w:spacing w:after="0" w:line="240" w:lineRule="auto"/>
        <w:jc w:val="both"/>
      </w:pPr>
      <w:r w:rsidRPr="001E4FF0">
        <w:rPr>
          <w:b/>
        </w:rPr>
        <w:t>план реалізації</w:t>
      </w:r>
      <w:r>
        <w:t xml:space="preserve"> кампанії із підвищення обізнаності щодо роботи гарячої лінії (далі – ГЛ) та залучення ЦА до користування </w:t>
      </w:r>
      <w:r w:rsidR="009614E7">
        <w:t xml:space="preserve">її послугами. План має містити: </w:t>
      </w:r>
      <w:r>
        <w:t>підготовчий етап, запуск – презента</w:t>
      </w:r>
      <w:r w:rsidR="003F1B69">
        <w:t>ція ГЛ та просування послуг ГЛ;</w:t>
      </w:r>
    </w:p>
    <w:p w14:paraId="5543CBE2" w14:textId="153CA040" w:rsidR="007E7722" w:rsidRDefault="009614E7" w:rsidP="007E7722">
      <w:pPr>
        <w:pStyle w:val="ListParagraph"/>
        <w:numPr>
          <w:ilvl w:val="0"/>
          <w:numId w:val="11"/>
        </w:numPr>
        <w:pBdr>
          <w:top w:val="nil"/>
          <w:left w:val="nil"/>
          <w:bottom w:val="nil"/>
          <w:right w:val="nil"/>
          <w:between w:val="nil"/>
        </w:pBdr>
        <w:spacing w:after="0" w:line="240" w:lineRule="auto"/>
        <w:jc w:val="both"/>
      </w:pPr>
      <w:r>
        <w:rPr>
          <w:b/>
        </w:rPr>
        <w:t>детально</w:t>
      </w:r>
      <w:r w:rsidR="00FC22B4" w:rsidRPr="007E7722">
        <w:rPr>
          <w:b/>
        </w:rPr>
        <w:t xml:space="preserve"> описані запроп</w:t>
      </w:r>
      <w:r w:rsidR="003F1B69">
        <w:rPr>
          <w:b/>
        </w:rPr>
        <w:t xml:space="preserve">оновані формати та інструменти </w:t>
      </w:r>
      <w:r w:rsidR="00FC22B4" w:rsidRPr="007E7722">
        <w:rPr>
          <w:b/>
        </w:rPr>
        <w:t>з орієнтовними бюджетами</w:t>
      </w:r>
      <w:r w:rsidR="00FC22B4" w:rsidRPr="001E4FF0">
        <w:t xml:space="preserve"> для їх </w:t>
      </w:r>
      <w:r w:rsidR="001E4FF0">
        <w:t xml:space="preserve">втілення. </w:t>
      </w:r>
      <w:r w:rsidR="007E7722">
        <w:t>Очікується, що стратегія обов</w:t>
      </w:r>
      <w:r w:rsidR="007E7722" w:rsidRPr="007E7722">
        <w:t xml:space="preserve">’язково </w:t>
      </w:r>
      <w:r w:rsidRPr="00DB68B0">
        <w:t>міститиме</w:t>
      </w:r>
      <w:r w:rsidR="00DB68B0">
        <w:t xml:space="preserve"> такі активності </w:t>
      </w:r>
      <w:r w:rsidR="00DB68B0" w:rsidRPr="00DB68B0">
        <w:rPr>
          <w:u w:val="single"/>
        </w:rPr>
        <w:t>(не обмежуючись)</w:t>
      </w:r>
      <w:r w:rsidR="007E7722">
        <w:t xml:space="preserve">: </w:t>
      </w:r>
      <w:r w:rsidR="007E7722" w:rsidRPr="007E7722">
        <w:rPr>
          <w:b/>
        </w:rPr>
        <w:t>розробка презентаційного вебсайту ГЛ</w:t>
      </w:r>
      <w:r w:rsidR="007E7722">
        <w:rPr>
          <w:b/>
        </w:rPr>
        <w:t>, презентаційний захід (онлайн і</w:t>
      </w:r>
      <w:r w:rsidR="007E7722" w:rsidRPr="007E7722">
        <w:rPr>
          <w:b/>
        </w:rPr>
        <w:t>/або офлайн) та втілення медіа проєктів,</w:t>
      </w:r>
      <w:r w:rsidR="007E7722">
        <w:t xml:space="preserve"> націлених на розвінчування стереотипів токсичної маскулінності</w:t>
      </w:r>
      <w:r>
        <w:t xml:space="preserve"> серед чоловіків</w:t>
      </w:r>
      <w:r w:rsidR="007E7722">
        <w:t>, які сприяють толеруванню гендерно зумовленого насильства.</w:t>
      </w:r>
      <w:r w:rsidR="00B65566">
        <w:t xml:space="preserve"> Серед інших активностей вітається використання каналів онлайн та офлайн просування, які є можливими для здійснення в умовах воєнного стану. </w:t>
      </w:r>
    </w:p>
    <w:p w14:paraId="24F17824" w14:textId="77777777" w:rsidR="007E7722" w:rsidRDefault="007E7722" w:rsidP="007E7722">
      <w:pPr>
        <w:pBdr>
          <w:top w:val="nil"/>
          <w:left w:val="nil"/>
          <w:bottom w:val="nil"/>
          <w:right w:val="nil"/>
          <w:between w:val="nil"/>
        </w:pBdr>
        <w:spacing w:after="0" w:line="240" w:lineRule="auto"/>
        <w:ind w:left="360"/>
        <w:jc w:val="both"/>
      </w:pPr>
    </w:p>
    <w:p w14:paraId="5E9ACB27" w14:textId="77777777" w:rsidR="001E4FF0" w:rsidRDefault="001E4FF0" w:rsidP="007E7722">
      <w:pPr>
        <w:pBdr>
          <w:top w:val="nil"/>
          <w:left w:val="nil"/>
          <w:bottom w:val="nil"/>
          <w:right w:val="nil"/>
          <w:between w:val="nil"/>
        </w:pBdr>
        <w:spacing w:after="0" w:line="240" w:lineRule="auto"/>
        <w:jc w:val="both"/>
      </w:pPr>
      <w:r>
        <w:t xml:space="preserve">Для </w:t>
      </w:r>
      <w:r w:rsidR="00B65566">
        <w:t xml:space="preserve">використання </w:t>
      </w:r>
      <w:r w:rsidR="00DB68B0">
        <w:t>найефективніших підходів в організації</w:t>
      </w:r>
      <w:r>
        <w:t xml:space="preserve"> роботи гарячої лінії </w:t>
      </w:r>
      <w:r w:rsidRPr="007E7722">
        <w:rPr>
          <w:lang w:val="en-US"/>
        </w:rPr>
        <w:t>UNFPA</w:t>
      </w:r>
      <w:r w:rsidRPr="001E4FF0">
        <w:t xml:space="preserve"> проводить комплексне дос</w:t>
      </w:r>
      <w:r>
        <w:t xml:space="preserve">лідження (кількісне та якісне) серед ЦА. Обраний підрядник отримає їх результати перед початком роботи. </w:t>
      </w:r>
    </w:p>
    <w:p w14:paraId="73707B58" w14:textId="77777777" w:rsidR="00582C13" w:rsidRDefault="00582C13" w:rsidP="007E7722">
      <w:pPr>
        <w:pBdr>
          <w:top w:val="nil"/>
          <w:left w:val="nil"/>
          <w:bottom w:val="nil"/>
          <w:right w:val="nil"/>
          <w:between w:val="nil"/>
        </w:pBdr>
        <w:spacing w:after="0" w:line="240" w:lineRule="auto"/>
        <w:jc w:val="both"/>
      </w:pPr>
    </w:p>
    <w:p w14:paraId="3D38D98D" w14:textId="77777777" w:rsidR="00582C13" w:rsidRDefault="00582C13" w:rsidP="00582C13">
      <w:pPr>
        <w:spacing w:after="0" w:line="240" w:lineRule="auto"/>
        <w:jc w:val="both"/>
      </w:pPr>
      <w:r>
        <w:t xml:space="preserve">Усі творчі ідеї, які підпадають у рамки даного технічного завдання – вітаються. </w:t>
      </w:r>
    </w:p>
    <w:p w14:paraId="48FED65B" w14:textId="77777777" w:rsidR="00FC22B4" w:rsidRDefault="00FC22B4" w:rsidP="00FC22B4">
      <w:pPr>
        <w:pBdr>
          <w:top w:val="nil"/>
          <w:left w:val="nil"/>
          <w:bottom w:val="nil"/>
          <w:right w:val="nil"/>
          <w:between w:val="nil"/>
        </w:pBdr>
        <w:spacing w:after="0" w:line="240" w:lineRule="auto"/>
        <w:jc w:val="both"/>
      </w:pPr>
    </w:p>
    <w:p w14:paraId="73723C9E" w14:textId="77777777" w:rsidR="005C4D7D" w:rsidRPr="00FC22B4" w:rsidRDefault="00DB68B0" w:rsidP="00DB68B0">
      <w:pPr>
        <w:pBdr>
          <w:top w:val="nil"/>
          <w:left w:val="nil"/>
          <w:bottom w:val="nil"/>
          <w:right w:val="nil"/>
          <w:between w:val="nil"/>
        </w:pBdr>
        <w:spacing w:after="0" w:line="240" w:lineRule="auto"/>
        <w:jc w:val="both"/>
      </w:pPr>
      <w:r>
        <w:rPr>
          <w:b/>
          <w:color w:val="000000"/>
          <w:u w:val="single"/>
        </w:rPr>
        <w:t xml:space="preserve">2. </w:t>
      </w:r>
      <w:r w:rsidR="00FC22B4">
        <w:rPr>
          <w:b/>
          <w:color w:val="000000"/>
          <w:u w:val="single"/>
        </w:rPr>
        <w:t>Р</w:t>
      </w:r>
      <w:r w:rsidR="00166916">
        <w:rPr>
          <w:b/>
          <w:color w:val="000000"/>
          <w:u w:val="single"/>
        </w:rPr>
        <w:t xml:space="preserve">еалізує </w:t>
      </w:r>
      <w:r w:rsidR="00FC22B4">
        <w:rPr>
          <w:b/>
          <w:color w:val="000000"/>
          <w:u w:val="single"/>
        </w:rPr>
        <w:t xml:space="preserve">розроблену та затверджену стратегію у період із </w:t>
      </w:r>
      <w:r w:rsidR="009614E7">
        <w:rPr>
          <w:b/>
          <w:color w:val="000000"/>
          <w:u w:val="single"/>
        </w:rPr>
        <w:t>вересня</w:t>
      </w:r>
      <w:r w:rsidR="007E7722">
        <w:rPr>
          <w:b/>
          <w:color w:val="000000"/>
          <w:u w:val="single"/>
        </w:rPr>
        <w:t xml:space="preserve"> 2022 року до 15 березня 2023 року.</w:t>
      </w:r>
    </w:p>
    <w:p w14:paraId="008C7842" w14:textId="77777777" w:rsidR="00FC22B4" w:rsidRDefault="00FC22B4" w:rsidP="00FC22B4">
      <w:pPr>
        <w:pBdr>
          <w:top w:val="nil"/>
          <w:left w:val="nil"/>
          <w:bottom w:val="nil"/>
          <w:right w:val="nil"/>
          <w:between w:val="nil"/>
        </w:pBdr>
        <w:spacing w:after="0" w:line="240" w:lineRule="auto"/>
        <w:jc w:val="both"/>
        <w:rPr>
          <w:b/>
          <w:color w:val="000000"/>
        </w:rPr>
      </w:pPr>
    </w:p>
    <w:p w14:paraId="27EE1D06" w14:textId="77777777" w:rsidR="007E7722" w:rsidRDefault="007E7722" w:rsidP="007E7722">
      <w:pPr>
        <w:spacing w:after="0" w:line="240" w:lineRule="auto"/>
        <w:jc w:val="both"/>
      </w:pPr>
      <w:r>
        <w:t xml:space="preserve">Розроблена </w:t>
      </w:r>
      <w:r>
        <w:rPr>
          <w:lang w:val="ru-RU"/>
        </w:rPr>
        <w:t>стратег</w:t>
      </w:r>
      <w:r>
        <w:t xml:space="preserve">ія </w:t>
      </w:r>
      <w:r w:rsidR="009614E7">
        <w:t xml:space="preserve">та її реалізація </w:t>
      </w:r>
      <w:r>
        <w:t>ма</w:t>
      </w:r>
      <w:r w:rsidR="009614E7">
        <w:t>ють</w:t>
      </w:r>
      <w:r>
        <w:t xml:space="preserve"> бути спрямован</w:t>
      </w:r>
      <w:r w:rsidR="009614E7">
        <w:t>і</w:t>
      </w:r>
      <w:r>
        <w:t xml:space="preserve"> на досягнення таких цілей: </w:t>
      </w:r>
    </w:p>
    <w:p w14:paraId="74DC26A0" w14:textId="77777777" w:rsidR="007E7722" w:rsidRDefault="007E7722" w:rsidP="007E7722">
      <w:pPr>
        <w:spacing w:after="0" w:line="240" w:lineRule="auto"/>
        <w:jc w:val="both"/>
      </w:pPr>
    </w:p>
    <w:tbl>
      <w:tblPr>
        <w:tblStyle w:val="affc"/>
        <w:tblW w:w="99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0"/>
        <w:gridCol w:w="4248"/>
        <w:gridCol w:w="2410"/>
        <w:gridCol w:w="2837"/>
      </w:tblGrid>
      <w:tr w:rsidR="007E7722" w14:paraId="285AE006" w14:textId="77777777" w:rsidTr="009614E7">
        <w:trPr>
          <w:trHeight w:val="273"/>
        </w:trPr>
        <w:tc>
          <w:tcPr>
            <w:tcW w:w="420" w:type="dxa"/>
            <w:tcBorders>
              <w:top w:val="single" w:sz="8" w:space="0" w:color="000000"/>
              <w:left w:val="single" w:sz="8" w:space="0" w:color="000000"/>
              <w:bottom w:val="single" w:sz="8" w:space="0" w:color="000000"/>
              <w:right w:val="single" w:sz="8" w:space="0" w:color="000000"/>
            </w:tcBorders>
          </w:tcPr>
          <w:p w14:paraId="3CC2BD5A" w14:textId="77777777" w:rsidR="007E7722" w:rsidRDefault="007E7722" w:rsidP="00CF3215">
            <w:pPr>
              <w:rPr>
                <w:sz w:val="20"/>
                <w:szCs w:val="20"/>
              </w:rPr>
            </w:pPr>
          </w:p>
        </w:tc>
        <w:tc>
          <w:tcPr>
            <w:tcW w:w="42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E6F340" w14:textId="77777777" w:rsidR="007E7722" w:rsidRDefault="007E7722" w:rsidP="00CF3215">
            <w:pPr>
              <w:rPr>
                <w:b/>
                <w:sz w:val="20"/>
                <w:szCs w:val="20"/>
              </w:rPr>
            </w:pPr>
            <w:r>
              <w:rPr>
                <w:b/>
                <w:sz w:val="20"/>
                <w:szCs w:val="20"/>
              </w:rPr>
              <w:t>Показник</w:t>
            </w:r>
          </w:p>
        </w:tc>
        <w:tc>
          <w:tcPr>
            <w:tcW w:w="2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0E91A6" w14:textId="77777777" w:rsidR="007E7722" w:rsidRDefault="007E7722" w:rsidP="00CF3215">
            <w:pPr>
              <w:rPr>
                <w:b/>
                <w:sz w:val="20"/>
                <w:szCs w:val="20"/>
              </w:rPr>
            </w:pPr>
            <w:r>
              <w:rPr>
                <w:b/>
                <w:sz w:val="20"/>
                <w:szCs w:val="20"/>
              </w:rPr>
              <w:t>Період</w:t>
            </w:r>
          </w:p>
        </w:tc>
        <w:tc>
          <w:tcPr>
            <w:tcW w:w="28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F67E5F" w14:textId="77777777" w:rsidR="007E7722" w:rsidRDefault="007E7722" w:rsidP="00CF3215">
            <w:pPr>
              <w:rPr>
                <w:b/>
                <w:sz w:val="20"/>
                <w:szCs w:val="20"/>
              </w:rPr>
            </w:pPr>
            <w:r>
              <w:rPr>
                <w:b/>
                <w:sz w:val="20"/>
                <w:szCs w:val="20"/>
              </w:rPr>
              <w:t>Ціль</w:t>
            </w:r>
          </w:p>
        </w:tc>
      </w:tr>
      <w:tr w:rsidR="007E7722" w14:paraId="6E0ADABD" w14:textId="77777777" w:rsidTr="009614E7">
        <w:trPr>
          <w:trHeight w:val="216"/>
        </w:trPr>
        <w:tc>
          <w:tcPr>
            <w:tcW w:w="420" w:type="dxa"/>
            <w:tcBorders>
              <w:top w:val="single" w:sz="8" w:space="0" w:color="000000"/>
              <w:left w:val="single" w:sz="8" w:space="0" w:color="000000"/>
              <w:bottom w:val="single" w:sz="8" w:space="0" w:color="000000"/>
              <w:right w:val="single" w:sz="8" w:space="0" w:color="000000"/>
            </w:tcBorders>
          </w:tcPr>
          <w:p w14:paraId="41511408" w14:textId="77777777" w:rsidR="007E7722" w:rsidRDefault="007E7722" w:rsidP="00CF3215">
            <w:pPr>
              <w:rPr>
                <w:sz w:val="20"/>
                <w:szCs w:val="20"/>
              </w:rPr>
            </w:pPr>
            <w:r>
              <w:rPr>
                <w:sz w:val="20"/>
                <w:szCs w:val="20"/>
              </w:rPr>
              <w:t>1</w:t>
            </w:r>
          </w:p>
        </w:tc>
        <w:tc>
          <w:tcPr>
            <w:tcW w:w="424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14:paraId="5E7A462E" w14:textId="77777777" w:rsidR="007E7722" w:rsidRPr="007E7722" w:rsidRDefault="007E7722" w:rsidP="007E7722">
            <w:pPr>
              <w:rPr>
                <w:sz w:val="20"/>
                <w:szCs w:val="20"/>
              </w:rPr>
            </w:pPr>
            <w:r w:rsidRPr="007E7722">
              <w:rPr>
                <w:sz w:val="20"/>
                <w:szCs w:val="20"/>
              </w:rPr>
              <w:t>Кіл</w:t>
            </w:r>
            <w:r>
              <w:rPr>
                <w:sz w:val="20"/>
                <w:szCs w:val="20"/>
              </w:rPr>
              <w:t xml:space="preserve">ькість чоловіків, які </w:t>
            </w:r>
            <w:r w:rsidRPr="007E7722">
              <w:rPr>
                <w:sz w:val="20"/>
                <w:szCs w:val="20"/>
              </w:rPr>
              <w:t>звернулися за психолог</w:t>
            </w:r>
            <w:r>
              <w:rPr>
                <w:sz w:val="20"/>
                <w:szCs w:val="20"/>
              </w:rPr>
              <w:t>ічною консультацією на гарячу лінію</w:t>
            </w:r>
          </w:p>
        </w:tc>
        <w:tc>
          <w:tcPr>
            <w:tcW w:w="2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E3334C" w14:textId="77777777" w:rsidR="007E7722" w:rsidRDefault="007E7722" w:rsidP="00CF3215">
            <w:pPr>
              <w:rPr>
                <w:sz w:val="20"/>
                <w:szCs w:val="20"/>
              </w:rPr>
            </w:pPr>
            <w:r>
              <w:rPr>
                <w:sz w:val="20"/>
                <w:szCs w:val="20"/>
              </w:rPr>
              <w:t xml:space="preserve">До 30 вересня 2022 року </w:t>
            </w:r>
          </w:p>
        </w:tc>
        <w:tc>
          <w:tcPr>
            <w:tcW w:w="28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33A342" w14:textId="77777777" w:rsidR="007E7722" w:rsidRDefault="007E7722" w:rsidP="00CF3215">
            <w:pPr>
              <w:rPr>
                <w:sz w:val="20"/>
                <w:szCs w:val="20"/>
              </w:rPr>
            </w:pPr>
            <w:r>
              <w:rPr>
                <w:sz w:val="20"/>
                <w:szCs w:val="20"/>
              </w:rPr>
              <w:t>500 осіб</w:t>
            </w:r>
          </w:p>
        </w:tc>
      </w:tr>
      <w:tr w:rsidR="007E7722" w14:paraId="5BEDC375" w14:textId="77777777" w:rsidTr="00DB68B0">
        <w:trPr>
          <w:trHeight w:val="644"/>
        </w:trPr>
        <w:tc>
          <w:tcPr>
            <w:tcW w:w="420" w:type="dxa"/>
            <w:tcBorders>
              <w:top w:val="single" w:sz="8" w:space="0" w:color="000000"/>
              <w:left w:val="single" w:sz="8" w:space="0" w:color="000000"/>
              <w:bottom w:val="single" w:sz="8" w:space="0" w:color="000000"/>
              <w:right w:val="single" w:sz="8" w:space="0" w:color="000000"/>
            </w:tcBorders>
          </w:tcPr>
          <w:p w14:paraId="3176749B" w14:textId="77777777" w:rsidR="007E7722" w:rsidRDefault="007E7722" w:rsidP="00CF3215">
            <w:pPr>
              <w:rPr>
                <w:sz w:val="20"/>
                <w:szCs w:val="20"/>
              </w:rPr>
            </w:pPr>
            <w:r>
              <w:rPr>
                <w:sz w:val="20"/>
                <w:szCs w:val="20"/>
              </w:rPr>
              <w:t>2</w:t>
            </w:r>
          </w:p>
        </w:tc>
        <w:tc>
          <w:tcPr>
            <w:tcW w:w="424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14:paraId="2864202C" w14:textId="77777777" w:rsidR="007E7722" w:rsidRDefault="007E7722" w:rsidP="00CF3215">
            <w:pPr>
              <w:rPr>
                <w:sz w:val="20"/>
                <w:szCs w:val="20"/>
              </w:rPr>
            </w:pPr>
            <w:r w:rsidRPr="007E7722">
              <w:rPr>
                <w:sz w:val="20"/>
                <w:szCs w:val="20"/>
              </w:rPr>
              <w:t>Кіл</w:t>
            </w:r>
            <w:r>
              <w:rPr>
                <w:sz w:val="20"/>
                <w:szCs w:val="20"/>
              </w:rPr>
              <w:t xml:space="preserve">ькість чоловіків, які </w:t>
            </w:r>
            <w:r w:rsidRPr="007E7722">
              <w:rPr>
                <w:sz w:val="20"/>
                <w:szCs w:val="20"/>
              </w:rPr>
              <w:t>звернулися за психолог</w:t>
            </w:r>
            <w:r>
              <w:rPr>
                <w:sz w:val="20"/>
                <w:szCs w:val="20"/>
              </w:rPr>
              <w:t>ічною консультацією на гарячу лінію</w:t>
            </w:r>
          </w:p>
        </w:tc>
        <w:tc>
          <w:tcPr>
            <w:tcW w:w="2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3304DD" w14:textId="77777777" w:rsidR="007E7722" w:rsidRDefault="007E7722" w:rsidP="00CF3215">
            <w:pPr>
              <w:rPr>
                <w:sz w:val="20"/>
                <w:szCs w:val="20"/>
              </w:rPr>
            </w:pPr>
            <w:r>
              <w:rPr>
                <w:sz w:val="20"/>
                <w:szCs w:val="20"/>
              </w:rPr>
              <w:t>1 жовтня – 31 грудня 2022 року</w:t>
            </w:r>
          </w:p>
        </w:tc>
        <w:tc>
          <w:tcPr>
            <w:tcW w:w="28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4E53B2" w14:textId="4C984E87" w:rsidR="007E7722" w:rsidRDefault="003F1B69" w:rsidP="00CF3215">
            <w:pPr>
              <w:rPr>
                <w:sz w:val="20"/>
                <w:szCs w:val="20"/>
              </w:rPr>
            </w:pPr>
            <w:r>
              <w:rPr>
                <w:sz w:val="20"/>
                <w:szCs w:val="20"/>
              </w:rPr>
              <w:t>1000 осіб (</w:t>
            </w:r>
            <w:r>
              <w:rPr>
                <w:sz w:val="20"/>
                <w:szCs w:val="20"/>
                <w:lang w:val="ru-RU"/>
              </w:rPr>
              <w:t>а</w:t>
            </w:r>
            <w:r w:rsidR="007E7722">
              <w:rPr>
                <w:sz w:val="20"/>
                <w:szCs w:val="20"/>
              </w:rPr>
              <w:t>кумулятивно)</w:t>
            </w:r>
          </w:p>
        </w:tc>
      </w:tr>
      <w:tr w:rsidR="007E7722" w14:paraId="0F88E505" w14:textId="77777777" w:rsidTr="009614E7">
        <w:trPr>
          <w:trHeight w:val="651"/>
        </w:trPr>
        <w:tc>
          <w:tcPr>
            <w:tcW w:w="420" w:type="dxa"/>
            <w:tcBorders>
              <w:top w:val="single" w:sz="8" w:space="0" w:color="000000"/>
              <w:left w:val="single" w:sz="8" w:space="0" w:color="000000"/>
              <w:bottom w:val="single" w:sz="8" w:space="0" w:color="000000"/>
              <w:right w:val="single" w:sz="8" w:space="0" w:color="000000"/>
            </w:tcBorders>
          </w:tcPr>
          <w:p w14:paraId="4B7039A4" w14:textId="77777777" w:rsidR="007E7722" w:rsidRDefault="007E7722" w:rsidP="00CF3215">
            <w:pPr>
              <w:rPr>
                <w:sz w:val="20"/>
                <w:szCs w:val="20"/>
              </w:rPr>
            </w:pPr>
            <w:r>
              <w:rPr>
                <w:sz w:val="20"/>
                <w:szCs w:val="20"/>
              </w:rPr>
              <w:t>3</w:t>
            </w:r>
          </w:p>
        </w:tc>
        <w:tc>
          <w:tcPr>
            <w:tcW w:w="424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14:paraId="2B603620" w14:textId="77777777" w:rsidR="007E7722" w:rsidRDefault="007E7722" w:rsidP="00CF3215">
            <w:pPr>
              <w:rPr>
                <w:sz w:val="20"/>
                <w:szCs w:val="20"/>
              </w:rPr>
            </w:pPr>
            <w:r w:rsidRPr="007E7722">
              <w:rPr>
                <w:sz w:val="20"/>
                <w:szCs w:val="20"/>
              </w:rPr>
              <w:t>Кіл</w:t>
            </w:r>
            <w:r>
              <w:rPr>
                <w:sz w:val="20"/>
                <w:szCs w:val="20"/>
              </w:rPr>
              <w:t xml:space="preserve">ькість чоловіків, які </w:t>
            </w:r>
            <w:r w:rsidRPr="007E7722">
              <w:rPr>
                <w:sz w:val="20"/>
                <w:szCs w:val="20"/>
              </w:rPr>
              <w:t>звернулися за психолог</w:t>
            </w:r>
            <w:r>
              <w:rPr>
                <w:sz w:val="20"/>
                <w:szCs w:val="20"/>
              </w:rPr>
              <w:t>ічною консультацією на гарячу лінію</w:t>
            </w:r>
          </w:p>
        </w:tc>
        <w:tc>
          <w:tcPr>
            <w:tcW w:w="2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093288" w14:textId="77777777" w:rsidR="007E7722" w:rsidRDefault="009614E7" w:rsidP="00CF3215">
            <w:pPr>
              <w:rPr>
                <w:sz w:val="20"/>
                <w:szCs w:val="20"/>
              </w:rPr>
            </w:pPr>
            <w:r>
              <w:rPr>
                <w:sz w:val="20"/>
                <w:szCs w:val="20"/>
              </w:rPr>
              <w:t>1 січня – 15 березня 2022 року</w:t>
            </w:r>
          </w:p>
        </w:tc>
        <w:tc>
          <w:tcPr>
            <w:tcW w:w="28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E45B21" w14:textId="0A096CC2" w:rsidR="007E7722" w:rsidRDefault="003F1B69" w:rsidP="00CF3215">
            <w:pPr>
              <w:rPr>
                <w:sz w:val="20"/>
                <w:szCs w:val="20"/>
              </w:rPr>
            </w:pPr>
            <w:r>
              <w:rPr>
                <w:sz w:val="20"/>
                <w:szCs w:val="20"/>
              </w:rPr>
              <w:t>1500 осіб (</w:t>
            </w:r>
            <w:r>
              <w:rPr>
                <w:sz w:val="20"/>
                <w:szCs w:val="20"/>
                <w:lang w:val="ru-RU"/>
              </w:rPr>
              <w:t>а</w:t>
            </w:r>
            <w:r w:rsidR="009614E7">
              <w:rPr>
                <w:sz w:val="20"/>
                <w:szCs w:val="20"/>
              </w:rPr>
              <w:t>кумулятивно)</w:t>
            </w:r>
          </w:p>
        </w:tc>
      </w:tr>
    </w:tbl>
    <w:p w14:paraId="11C6B72D" w14:textId="77777777" w:rsidR="005C4D7D" w:rsidRDefault="005C4D7D">
      <w:pPr>
        <w:spacing w:after="0" w:line="240" w:lineRule="auto"/>
        <w:jc w:val="both"/>
      </w:pPr>
    </w:p>
    <w:p w14:paraId="15CFBF51" w14:textId="76967412" w:rsidR="000A7361" w:rsidRPr="000A7361" w:rsidRDefault="000A7361">
      <w:pPr>
        <w:spacing w:after="0" w:line="240" w:lineRule="auto"/>
        <w:jc w:val="both"/>
      </w:pPr>
      <w:r>
        <w:t xml:space="preserve">Очікується, що станом на кінець лютого 2023 року, 20% чоловіків знатимуть про гарячу лінію. </w:t>
      </w:r>
      <w:r>
        <w:rPr>
          <w:lang w:val="en-US"/>
        </w:rPr>
        <w:t>UNFPA</w:t>
      </w:r>
      <w:r w:rsidRPr="00315FC5">
        <w:t xml:space="preserve"> самос</w:t>
      </w:r>
      <w:r>
        <w:t xml:space="preserve">тійно проводитиме відповідне дослідження у лютому-березні 2023 року. </w:t>
      </w:r>
    </w:p>
    <w:p w14:paraId="32C93952" w14:textId="77777777" w:rsidR="000A7361" w:rsidRDefault="000A7361">
      <w:pPr>
        <w:spacing w:after="0" w:line="240" w:lineRule="auto"/>
        <w:jc w:val="both"/>
      </w:pPr>
    </w:p>
    <w:p w14:paraId="0F6E0255" w14:textId="18A0A997" w:rsidR="005C4D7D" w:rsidRDefault="00166916">
      <w:pPr>
        <w:spacing w:after="0" w:line="240" w:lineRule="auto"/>
        <w:jc w:val="both"/>
      </w:pPr>
      <w:r>
        <w:t xml:space="preserve">Кожен з етапів роботи передбачає отримання зворотного зв’язку від замовника, внесення необхідних правок та необхідне доопрацювання матеріалів. Фінальна стратегія, план реалізації та звіт </w:t>
      </w:r>
      <w:r w:rsidR="00582C13">
        <w:t>щодо виконаної роботи</w:t>
      </w:r>
      <w:r w:rsidR="003F1B69">
        <w:t xml:space="preserve"> </w:t>
      </w:r>
      <w:r>
        <w:t xml:space="preserve">мають бути надані українською та англійською мовами як документ MS Word та </w:t>
      </w:r>
      <w:r>
        <w:lastRenderedPageBreak/>
        <w:t xml:space="preserve">презентація. Додаткові матеріали можуть бути надані в інших форматах лише українською мовою у відповідному форматі. </w:t>
      </w:r>
    </w:p>
    <w:p w14:paraId="0A5C2736" w14:textId="77777777" w:rsidR="005C4D7D" w:rsidRDefault="005C4D7D">
      <w:pPr>
        <w:spacing w:after="0" w:line="240" w:lineRule="auto"/>
        <w:jc w:val="both"/>
      </w:pPr>
    </w:p>
    <w:p w14:paraId="0C58FC2A" w14:textId="77777777" w:rsidR="005C4D7D" w:rsidRDefault="005C4D7D">
      <w:pPr>
        <w:spacing w:after="0" w:line="240" w:lineRule="auto"/>
        <w:jc w:val="both"/>
      </w:pPr>
    </w:p>
    <w:p w14:paraId="4CCE9DEA" w14:textId="77777777" w:rsidR="005C4D7D" w:rsidRDefault="00166916">
      <w:pPr>
        <w:spacing w:after="0" w:line="240" w:lineRule="auto"/>
        <w:jc w:val="both"/>
        <w:rPr>
          <w:b/>
        </w:rPr>
      </w:pPr>
      <w:r>
        <w:rPr>
          <w:b/>
        </w:rPr>
        <w:t>Оплата</w:t>
      </w:r>
    </w:p>
    <w:p w14:paraId="2D8CFEDD" w14:textId="77777777" w:rsidR="005C4D7D" w:rsidRDefault="00166916">
      <w:pPr>
        <w:spacing w:after="0" w:line="240" w:lineRule="auto"/>
        <w:jc w:val="both"/>
      </w:pPr>
      <w:r>
        <w:t>Усі результати, передбачені цими завданнями, повинні бути надані замовнику до 15 березня 202</w:t>
      </w:r>
      <w:r w:rsidR="009614E7">
        <w:t>3</w:t>
      </w:r>
      <w:r>
        <w:t xml:space="preserve"> року.</w:t>
      </w:r>
    </w:p>
    <w:tbl>
      <w:tblPr>
        <w:tblStyle w:val="affd"/>
        <w:tblW w:w="9771"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00" w:firstRow="0" w:lastRow="0" w:firstColumn="0" w:lastColumn="0" w:noHBand="0" w:noVBand="1"/>
      </w:tblPr>
      <w:tblGrid>
        <w:gridCol w:w="416"/>
        <w:gridCol w:w="6378"/>
        <w:gridCol w:w="2977"/>
      </w:tblGrid>
      <w:tr w:rsidR="005C4D7D" w14:paraId="147F5D1A" w14:textId="77777777" w:rsidTr="000A7361">
        <w:trPr>
          <w:trHeight w:val="278"/>
        </w:trPr>
        <w:tc>
          <w:tcPr>
            <w:tcW w:w="41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151A2A7F" w14:textId="77777777" w:rsidR="005C4D7D" w:rsidRDefault="00166916">
            <w:pPr>
              <w:jc w:val="both"/>
            </w:pPr>
            <w:r>
              <w:t>#</w:t>
            </w:r>
          </w:p>
        </w:tc>
        <w:tc>
          <w:tcPr>
            <w:tcW w:w="6378"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14:paraId="27DD052F" w14:textId="77777777" w:rsidR="005C4D7D" w:rsidRDefault="00166916">
            <w:pPr>
              <w:jc w:val="both"/>
            </w:pPr>
            <w:r>
              <w:t>Очікувані матеріали</w:t>
            </w:r>
          </w:p>
        </w:tc>
        <w:tc>
          <w:tcPr>
            <w:tcW w:w="2977"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14:paraId="651C94A5" w14:textId="77777777" w:rsidR="005C4D7D" w:rsidRDefault="00166916">
            <w:pPr>
              <w:jc w:val="both"/>
            </w:pPr>
            <w:r>
              <w:t>Умови оплати та часові рамки</w:t>
            </w:r>
          </w:p>
        </w:tc>
      </w:tr>
      <w:tr w:rsidR="005C4D7D" w14:paraId="0C382C42" w14:textId="77777777" w:rsidTr="000A7361">
        <w:trPr>
          <w:trHeight w:val="628"/>
        </w:trPr>
        <w:tc>
          <w:tcPr>
            <w:tcW w:w="416" w:type="dxa"/>
            <w:tcBorders>
              <w:top w:val="nil"/>
              <w:left w:val="single" w:sz="8" w:space="0" w:color="000000"/>
              <w:bottom w:val="single" w:sz="4" w:space="0" w:color="auto"/>
              <w:right w:val="single" w:sz="8" w:space="0" w:color="000000"/>
            </w:tcBorders>
            <w:shd w:val="clear" w:color="auto" w:fill="FFFFFF"/>
            <w:tcMar>
              <w:top w:w="100" w:type="dxa"/>
              <w:left w:w="100" w:type="dxa"/>
              <w:bottom w:w="100" w:type="dxa"/>
              <w:right w:w="100" w:type="dxa"/>
            </w:tcMar>
            <w:vAlign w:val="center"/>
          </w:tcPr>
          <w:p w14:paraId="75237C25" w14:textId="77777777" w:rsidR="005C4D7D" w:rsidRDefault="00166916">
            <w:pPr>
              <w:jc w:val="both"/>
            </w:pPr>
            <w:r>
              <w:t>1</w:t>
            </w:r>
          </w:p>
        </w:tc>
        <w:tc>
          <w:tcPr>
            <w:tcW w:w="6378" w:type="dxa"/>
            <w:tcBorders>
              <w:top w:val="nil"/>
              <w:left w:val="nil"/>
              <w:bottom w:val="single" w:sz="4" w:space="0" w:color="auto"/>
              <w:right w:val="single" w:sz="8" w:space="0" w:color="000000"/>
            </w:tcBorders>
            <w:shd w:val="clear" w:color="auto" w:fill="FFFFFF"/>
            <w:tcMar>
              <w:top w:w="100" w:type="dxa"/>
              <w:left w:w="100" w:type="dxa"/>
              <w:bottom w:w="100" w:type="dxa"/>
              <w:right w:w="100" w:type="dxa"/>
            </w:tcMar>
            <w:vAlign w:val="center"/>
          </w:tcPr>
          <w:p w14:paraId="6D5E7F24" w14:textId="513900F0" w:rsidR="005C4D7D" w:rsidRPr="000A7361" w:rsidRDefault="009614E7" w:rsidP="000A7361">
            <w:pPr>
              <w:jc w:val="both"/>
            </w:pPr>
            <w:r>
              <w:t xml:space="preserve">Розробити та затвердити із </w:t>
            </w:r>
            <w:r>
              <w:rPr>
                <w:lang w:val="en-US"/>
              </w:rPr>
              <w:t>UNFPA</w:t>
            </w:r>
            <w:r w:rsidRPr="00582C13">
              <w:t xml:space="preserve"> стратег</w:t>
            </w:r>
            <w:r>
              <w:t>ію просування,</w:t>
            </w:r>
            <w:r w:rsidR="00582C13">
              <w:t xml:space="preserve"> передати усі напрацювання.</w:t>
            </w:r>
            <w:r>
              <w:t xml:space="preserve"> </w:t>
            </w:r>
            <w:r w:rsidR="00582C13">
              <w:t>Р</w:t>
            </w:r>
            <w:r>
              <w:t>еаліз</w:t>
            </w:r>
            <w:r w:rsidR="00582C13">
              <w:t>увати</w:t>
            </w:r>
            <w:r>
              <w:t xml:space="preserve"> запуск </w:t>
            </w:r>
            <w:r w:rsidR="000A7361">
              <w:t xml:space="preserve">стратегії. Надати та погодити із </w:t>
            </w:r>
            <w:r w:rsidR="000A7361">
              <w:rPr>
                <w:lang w:val="en-US"/>
              </w:rPr>
              <w:t>UNFPA</w:t>
            </w:r>
            <w:r w:rsidR="000A7361" w:rsidRPr="000A7361">
              <w:t xml:space="preserve"> зв</w:t>
            </w:r>
            <w:r w:rsidR="000A7361">
              <w:t>іт, що міститиме погоджену стратегію та результати її запуску (включно з розробкою сайту та проведенням презентаційного зах</w:t>
            </w:r>
            <w:r w:rsidR="000A7361" w:rsidRPr="000A7361">
              <w:t>оду</w:t>
            </w:r>
            <w:r w:rsidR="000A7361">
              <w:t>).</w:t>
            </w:r>
          </w:p>
        </w:tc>
        <w:tc>
          <w:tcPr>
            <w:tcW w:w="2977" w:type="dxa"/>
            <w:tcBorders>
              <w:top w:val="nil"/>
              <w:left w:val="nil"/>
              <w:bottom w:val="single" w:sz="4" w:space="0" w:color="auto"/>
              <w:right w:val="single" w:sz="8" w:space="0" w:color="000000"/>
            </w:tcBorders>
            <w:shd w:val="clear" w:color="auto" w:fill="FFFFFF"/>
            <w:tcMar>
              <w:top w:w="100" w:type="dxa"/>
              <w:left w:w="100" w:type="dxa"/>
              <w:bottom w:w="100" w:type="dxa"/>
              <w:right w:w="100" w:type="dxa"/>
            </w:tcMar>
            <w:vAlign w:val="center"/>
          </w:tcPr>
          <w:p w14:paraId="5D4070E7" w14:textId="77777777" w:rsidR="005C4D7D" w:rsidRDefault="002C257B">
            <w:pPr>
              <w:jc w:val="both"/>
            </w:pPr>
            <w:r>
              <w:t>6</w:t>
            </w:r>
            <w:r w:rsidR="00166916">
              <w:t>0% вартості контракту після затвердження замовником</w:t>
            </w:r>
          </w:p>
        </w:tc>
      </w:tr>
      <w:tr w:rsidR="005C4D7D" w14:paraId="491E4C38" w14:textId="77777777" w:rsidTr="000A7361">
        <w:trPr>
          <w:trHeight w:val="896"/>
        </w:trPr>
        <w:tc>
          <w:tcPr>
            <w:tcW w:w="416" w:type="dxa"/>
            <w:tcBorders>
              <w:top w:val="single" w:sz="4" w:space="0" w:color="auto"/>
              <w:left w:val="single" w:sz="8" w:space="0" w:color="000000"/>
              <w:bottom w:val="single" w:sz="4" w:space="0" w:color="000000"/>
              <w:right w:val="single" w:sz="8" w:space="0" w:color="000000"/>
            </w:tcBorders>
            <w:shd w:val="clear" w:color="auto" w:fill="FFFFFF"/>
            <w:tcMar>
              <w:top w:w="100" w:type="dxa"/>
              <w:left w:w="100" w:type="dxa"/>
              <w:bottom w:w="100" w:type="dxa"/>
              <w:right w:w="100" w:type="dxa"/>
            </w:tcMar>
            <w:vAlign w:val="center"/>
          </w:tcPr>
          <w:p w14:paraId="62068763" w14:textId="77777777" w:rsidR="005C4D7D" w:rsidRDefault="00166916">
            <w:pPr>
              <w:jc w:val="both"/>
            </w:pPr>
            <w:r>
              <w:t>2</w:t>
            </w:r>
          </w:p>
        </w:tc>
        <w:tc>
          <w:tcPr>
            <w:tcW w:w="6378" w:type="dxa"/>
            <w:tcBorders>
              <w:top w:val="single" w:sz="4" w:space="0" w:color="auto"/>
              <w:left w:val="nil"/>
              <w:bottom w:val="single" w:sz="4" w:space="0" w:color="000000"/>
              <w:right w:val="single" w:sz="8" w:space="0" w:color="000000"/>
            </w:tcBorders>
            <w:shd w:val="clear" w:color="auto" w:fill="FFFFFF"/>
            <w:tcMar>
              <w:top w:w="100" w:type="dxa"/>
              <w:left w:w="100" w:type="dxa"/>
              <w:bottom w:w="100" w:type="dxa"/>
              <w:right w:w="100" w:type="dxa"/>
            </w:tcMar>
            <w:vAlign w:val="center"/>
          </w:tcPr>
          <w:p w14:paraId="2F84CFA3" w14:textId="77777777" w:rsidR="005C4D7D" w:rsidRPr="002C257B" w:rsidRDefault="00582C13" w:rsidP="00582C13">
            <w:pPr>
              <w:jc w:val="both"/>
            </w:pPr>
            <w:r>
              <w:t>Повністю р</w:t>
            </w:r>
            <w:r w:rsidR="009614E7">
              <w:t xml:space="preserve">еалізувати </w:t>
            </w:r>
            <w:r>
              <w:t>усі інші активності, визначені погодженою</w:t>
            </w:r>
            <w:r w:rsidR="009614E7">
              <w:t xml:space="preserve"> стратегією до 15</w:t>
            </w:r>
            <w:r w:rsidR="002C257B">
              <w:t xml:space="preserve"> березня 2023 року.</w:t>
            </w:r>
            <w:r>
              <w:t xml:space="preserve"> Надати та погодити із</w:t>
            </w:r>
            <w:r w:rsidR="002C257B">
              <w:t xml:space="preserve"> </w:t>
            </w:r>
            <w:r w:rsidR="002C257B">
              <w:rPr>
                <w:lang w:val="en-US"/>
              </w:rPr>
              <w:t>UNFPA</w:t>
            </w:r>
            <w:r w:rsidR="002C257B" w:rsidRPr="002C257B">
              <w:rPr>
                <w:lang w:val="ru-RU"/>
              </w:rPr>
              <w:t xml:space="preserve"> </w:t>
            </w:r>
            <w:r w:rsidR="002C257B">
              <w:rPr>
                <w:lang w:val="ru-RU"/>
              </w:rPr>
              <w:t>зв</w:t>
            </w:r>
            <w:r w:rsidR="002C257B">
              <w:t xml:space="preserve">іт по роботі. </w:t>
            </w:r>
          </w:p>
        </w:tc>
        <w:tc>
          <w:tcPr>
            <w:tcW w:w="2977" w:type="dxa"/>
            <w:tcBorders>
              <w:top w:val="single" w:sz="4" w:space="0" w:color="auto"/>
              <w:left w:val="nil"/>
              <w:bottom w:val="single" w:sz="4" w:space="0" w:color="000000"/>
              <w:right w:val="single" w:sz="8" w:space="0" w:color="000000"/>
            </w:tcBorders>
            <w:shd w:val="clear" w:color="auto" w:fill="FFFFFF"/>
            <w:tcMar>
              <w:top w:w="100" w:type="dxa"/>
              <w:left w:w="100" w:type="dxa"/>
              <w:bottom w:w="100" w:type="dxa"/>
              <w:right w:w="100" w:type="dxa"/>
            </w:tcMar>
            <w:vAlign w:val="center"/>
          </w:tcPr>
          <w:p w14:paraId="151E5E8F" w14:textId="77777777" w:rsidR="005C4D7D" w:rsidRDefault="002C257B">
            <w:pPr>
              <w:jc w:val="both"/>
            </w:pPr>
            <w:r>
              <w:t>4</w:t>
            </w:r>
            <w:r w:rsidR="00166916">
              <w:t>0% вартості контракту після затвердження замовником</w:t>
            </w:r>
          </w:p>
        </w:tc>
      </w:tr>
    </w:tbl>
    <w:p w14:paraId="2A5EE9FF" w14:textId="77777777" w:rsidR="005C4D7D" w:rsidRDefault="005C4D7D">
      <w:pPr>
        <w:spacing w:after="0" w:line="240" w:lineRule="auto"/>
        <w:jc w:val="both"/>
        <w:rPr>
          <w:b/>
        </w:rPr>
      </w:pPr>
    </w:p>
    <w:p w14:paraId="16439376" w14:textId="77777777" w:rsidR="005C4D7D" w:rsidRDefault="00166916">
      <w:pPr>
        <w:spacing w:after="0" w:line="240" w:lineRule="auto"/>
        <w:jc w:val="both"/>
        <w:rPr>
          <w:b/>
        </w:rPr>
      </w:pPr>
      <w:r>
        <w:rPr>
          <w:b/>
        </w:rPr>
        <w:t>Інтелектуальна власність</w:t>
      </w:r>
    </w:p>
    <w:p w14:paraId="397CD5B5" w14:textId="77777777" w:rsidR="005C4D7D" w:rsidRDefault="00166916" w:rsidP="003F1B69">
      <w:pPr>
        <w:spacing w:after="0" w:line="240" w:lineRule="auto"/>
        <w:jc w:val="both"/>
      </w:pPr>
      <w:r>
        <w:t>Уся інформація, що відноситься до цього проекту (документальна, візуальна, цифрова, кібер, проєктна документація і т.д.), і з якою Підрядник може вступити в контакт при виконанні своїх обов'язків відповідно до цього завдання, залишається власністю Фонду ООН у галузі народонаселення, який має виняткові права на їх використання. За винятком цілей даного завдання, інформація не повинна бути розкрита громадськості або використовуватися в будь-якому виді без письмового дозволу Фонду ООН у галузі народонаселення відповідно до національних і міжнародних законів про авторські права.</w:t>
      </w:r>
    </w:p>
    <w:p w14:paraId="051F514E" w14:textId="77777777" w:rsidR="005C4D7D" w:rsidRDefault="005C4D7D">
      <w:pPr>
        <w:spacing w:after="0" w:line="240" w:lineRule="auto"/>
        <w:jc w:val="both"/>
      </w:pPr>
    </w:p>
    <w:p w14:paraId="1D7EDAEE" w14:textId="77777777" w:rsidR="005C4D7D" w:rsidRDefault="00166916">
      <w:pPr>
        <w:spacing w:after="0" w:line="240" w:lineRule="auto"/>
        <w:jc w:val="both"/>
        <w:rPr>
          <w:b/>
        </w:rPr>
      </w:pPr>
      <w:r>
        <w:rPr>
          <w:b/>
        </w:rPr>
        <w:t>Вимоги щодо кваліфікації</w:t>
      </w:r>
    </w:p>
    <w:p w14:paraId="26A19BC7" w14:textId="77777777" w:rsidR="005C4D7D" w:rsidRDefault="00166916">
      <w:pPr>
        <w:spacing w:after="0" w:line="240" w:lineRule="auto"/>
        <w:jc w:val="both"/>
      </w:pPr>
      <w:r>
        <w:t>UNFPA шукає постачальника послуг із досвідом планування та проведення комунікаційних кампаній, бажано соціальних кампаній (потрібні посилання на останні впроваджені кампанії соціального характеру) та глибоких практичних знань про українські медіа та рекламні ринки.</w:t>
      </w:r>
    </w:p>
    <w:p w14:paraId="20E1E76E" w14:textId="77777777" w:rsidR="005C4D7D" w:rsidRDefault="005C4D7D">
      <w:pPr>
        <w:spacing w:after="0" w:line="240" w:lineRule="auto"/>
        <w:jc w:val="both"/>
      </w:pPr>
    </w:p>
    <w:p w14:paraId="15781B0A" w14:textId="77777777" w:rsidR="005C4D7D" w:rsidRDefault="00166916">
      <w:pPr>
        <w:spacing w:after="0" w:line="240" w:lineRule="auto"/>
        <w:jc w:val="both"/>
      </w:pPr>
      <w:r>
        <w:t>Потенційний постачальник послуг повинен:</w:t>
      </w:r>
    </w:p>
    <w:p w14:paraId="3BB20B53" w14:textId="3EFA876E" w:rsidR="005C4D7D" w:rsidRDefault="00166916">
      <w:pPr>
        <w:spacing w:after="0" w:line="240" w:lineRule="auto"/>
        <w:jc w:val="both"/>
      </w:pPr>
      <w:r>
        <w:t>- бути резидентом</w:t>
      </w:r>
      <w:r w:rsidR="003F1B69">
        <w:t xml:space="preserve"> </w:t>
      </w:r>
      <w:r>
        <w:t>або мати юридичне представництво в Україні з відповідною офіційною реєстрацією;</w:t>
      </w:r>
    </w:p>
    <w:p w14:paraId="38694DF0" w14:textId="77777777" w:rsidR="005C4D7D" w:rsidRDefault="00166916">
      <w:pPr>
        <w:spacing w:after="0" w:line="240" w:lineRule="auto"/>
        <w:jc w:val="both"/>
      </w:pPr>
      <w:r>
        <w:t>- працювати в сфері комунікацій щонайменше 3 роки;</w:t>
      </w:r>
    </w:p>
    <w:p w14:paraId="3ADFC169" w14:textId="38D6DC9D" w:rsidR="005C4D7D" w:rsidRDefault="00166916">
      <w:pPr>
        <w:spacing w:after="0" w:line="240" w:lineRule="auto"/>
        <w:jc w:val="both"/>
      </w:pPr>
      <w:r>
        <w:t xml:space="preserve">- мати досвід у галузі досліджень </w:t>
      </w:r>
      <w:r w:rsidR="003F1B69">
        <w:t>і</w:t>
      </w:r>
      <w:r>
        <w:t xml:space="preserve"> розробок публічних інформаційних та комунікаційних кампаній, досвід у розробці та реалізації соціальних кампаній буде перевагою;</w:t>
      </w:r>
    </w:p>
    <w:p w14:paraId="350BAF17" w14:textId="77777777" w:rsidR="005C4D7D" w:rsidRDefault="00166916">
      <w:pPr>
        <w:spacing w:after="0" w:line="240" w:lineRule="auto"/>
        <w:jc w:val="both"/>
      </w:pPr>
      <w:r>
        <w:t>- демонструвати здатність дотримуватися часових рамок, працювати під тиском та вимірювати результати;</w:t>
      </w:r>
    </w:p>
    <w:p w14:paraId="1C48C5F2" w14:textId="77777777" w:rsidR="005C4D7D" w:rsidRDefault="00166916">
      <w:pPr>
        <w:spacing w:after="0" w:line="240" w:lineRule="auto"/>
        <w:jc w:val="both"/>
      </w:pPr>
      <w:r>
        <w:t>- володіти українською, російською та англійською мовами.</w:t>
      </w:r>
    </w:p>
    <w:p w14:paraId="2EDE9E6C" w14:textId="77777777" w:rsidR="005C4D7D" w:rsidRDefault="00166916">
      <w:pPr>
        <w:spacing w:after="0" w:line="240" w:lineRule="auto"/>
        <w:jc w:val="both"/>
      </w:pPr>
      <w:r>
        <w:t>Перевагою буде попередній досвід роботи з агенціями системи ООН.</w:t>
      </w:r>
    </w:p>
    <w:p w14:paraId="2ABE2E2B" w14:textId="77777777" w:rsidR="00315FC5" w:rsidRDefault="00315FC5">
      <w:pPr>
        <w:spacing w:after="0" w:line="240" w:lineRule="auto"/>
        <w:jc w:val="both"/>
      </w:pPr>
    </w:p>
    <w:p w14:paraId="43E32546" w14:textId="77777777" w:rsidR="00315FC5" w:rsidRPr="00B1020A" w:rsidRDefault="00315FC5" w:rsidP="00315FC5">
      <w:pPr>
        <w:spacing w:after="0" w:line="240" w:lineRule="auto"/>
        <w:jc w:val="both"/>
        <w:rPr>
          <w:b/>
        </w:rPr>
      </w:pPr>
      <w:r w:rsidRPr="00B1020A">
        <w:rPr>
          <w:b/>
        </w:rPr>
        <w:t>Питання</w:t>
      </w:r>
    </w:p>
    <w:p w14:paraId="7C19CFE8" w14:textId="631037BC" w:rsidR="00315FC5" w:rsidRPr="00B1020A" w:rsidRDefault="00315FC5" w:rsidP="00315FC5">
      <w:pPr>
        <w:spacing w:after="0" w:line="240" w:lineRule="auto"/>
        <w:jc w:val="both"/>
      </w:pPr>
      <w:r w:rsidRPr="00B1020A">
        <w:t xml:space="preserve">Питання або запити щодо подальших роз’яснень можна надавати під час організаційної наради (дебрифінгу), яку буде </w:t>
      </w:r>
      <w:r w:rsidRPr="00752861">
        <w:t xml:space="preserve">проведено </w:t>
      </w:r>
      <w:r w:rsidRPr="00752861">
        <w:rPr>
          <w:b/>
        </w:rPr>
        <w:t xml:space="preserve">в </w:t>
      </w:r>
      <w:r w:rsidR="007F1505">
        <w:rPr>
          <w:b/>
        </w:rPr>
        <w:t>вівторок</w:t>
      </w:r>
      <w:r w:rsidRPr="00752861">
        <w:rPr>
          <w:b/>
        </w:rPr>
        <w:t xml:space="preserve">, </w:t>
      </w:r>
      <w:r w:rsidR="007F1505">
        <w:rPr>
          <w:b/>
        </w:rPr>
        <w:t>26</w:t>
      </w:r>
      <w:r w:rsidRPr="00752861">
        <w:rPr>
          <w:b/>
        </w:rPr>
        <w:t xml:space="preserve"> </w:t>
      </w:r>
      <w:r w:rsidR="007F1505">
        <w:rPr>
          <w:b/>
        </w:rPr>
        <w:t>липня</w:t>
      </w:r>
      <w:r w:rsidRPr="00752861">
        <w:rPr>
          <w:b/>
        </w:rPr>
        <w:t xml:space="preserve"> 2022, об 11:00 год</w:t>
      </w:r>
      <w:r w:rsidRPr="00B1020A">
        <w:rPr>
          <w:b/>
        </w:rPr>
        <w:t xml:space="preserve">  за Київським часом </w:t>
      </w:r>
      <w:r w:rsidRPr="00B1020A">
        <w:t xml:space="preserve">допомогою Zoom-програми (посилання на конференц-зв’язок буде надано пізніше). </w:t>
      </w:r>
    </w:p>
    <w:p w14:paraId="054A038D" w14:textId="77777777" w:rsidR="00315FC5" w:rsidRPr="00B1020A" w:rsidRDefault="00315FC5" w:rsidP="00315FC5">
      <w:pPr>
        <w:spacing w:after="0" w:line="240" w:lineRule="auto"/>
        <w:jc w:val="both"/>
      </w:pPr>
    </w:p>
    <w:p w14:paraId="0376ECE7" w14:textId="0DE61113" w:rsidR="00315FC5" w:rsidRPr="00B1020A" w:rsidRDefault="00315FC5" w:rsidP="00315FC5">
      <w:pPr>
        <w:spacing w:after="0" w:line="240" w:lineRule="auto"/>
        <w:jc w:val="both"/>
      </w:pPr>
      <w:r w:rsidRPr="00B1020A">
        <w:t xml:space="preserve">У разі вашої участі у дебрифінгу ми просимо вас надіслати підтвердження із зазначенням імені та прізвища свого представника контактній особі UNFPA до </w:t>
      </w:r>
      <w:r w:rsidRPr="00B1020A">
        <w:rPr>
          <w:b/>
        </w:rPr>
        <w:t xml:space="preserve">15:00 за київським часом, </w:t>
      </w:r>
      <w:r w:rsidR="007F1505">
        <w:rPr>
          <w:b/>
        </w:rPr>
        <w:t>25</w:t>
      </w:r>
      <w:r>
        <w:rPr>
          <w:b/>
        </w:rPr>
        <w:t xml:space="preserve"> </w:t>
      </w:r>
      <w:r w:rsidR="007F1505">
        <w:rPr>
          <w:b/>
        </w:rPr>
        <w:t>липня</w:t>
      </w:r>
      <w:r w:rsidRPr="00B1020A">
        <w:rPr>
          <w:b/>
        </w:rPr>
        <w:t xml:space="preserve"> 2022 року</w:t>
      </w:r>
      <w:r w:rsidRPr="00B1020A">
        <w:t>.</w:t>
      </w:r>
    </w:p>
    <w:p w14:paraId="046B01A2" w14:textId="77777777" w:rsidR="00315FC5" w:rsidRPr="00B1020A" w:rsidRDefault="00315FC5" w:rsidP="00315FC5">
      <w:pPr>
        <w:spacing w:after="0" w:line="240" w:lineRule="auto"/>
        <w:jc w:val="both"/>
      </w:pPr>
    </w:p>
    <w:tbl>
      <w:tblPr>
        <w:tblStyle w:val="ae"/>
        <w:tblW w:w="948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810"/>
        <w:gridCol w:w="4678"/>
      </w:tblGrid>
      <w:tr w:rsidR="00315FC5" w:rsidRPr="00B1020A" w14:paraId="4F2D36BD" w14:textId="77777777" w:rsidTr="00A66280">
        <w:trPr>
          <w:trHeight w:val="475"/>
        </w:trPr>
        <w:tc>
          <w:tcPr>
            <w:tcW w:w="4810" w:type="dxa"/>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tcPr>
          <w:p w14:paraId="182A61AC" w14:textId="77777777" w:rsidR="00315FC5" w:rsidRPr="00B1020A" w:rsidRDefault="00315FC5" w:rsidP="00A66280">
            <w:pPr>
              <w:spacing w:after="0" w:line="240" w:lineRule="auto"/>
              <w:jc w:val="both"/>
            </w:pPr>
            <w:r w:rsidRPr="00B1020A">
              <w:t>Ім'я та прізвище контактної особи в UNFPA:</w:t>
            </w:r>
          </w:p>
        </w:tc>
        <w:tc>
          <w:tcPr>
            <w:tcW w:w="4678" w:type="dxa"/>
            <w:tcBorders>
              <w:top w:val="single" w:sz="8" w:space="0" w:color="D9D9D9"/>
              <w:bottom w:val="single" w:sz="8" w:space="0" w:color="D9D9D9"/>
              <w:right w:val="single" w:sz="8" w:space="0" w:color="D9D9D9"/>
            </w:tcBorders>
            <w:tcMar>
              <w:top w:w="100" w:type="dxa"/>
              <w:left w:w="100" w:type="dxa"/>
              <w:bottom w:w="100" w:type="dxa"/>
              <w:right w:w="100" w:type="dxa"/>
            </w:tcMar>
          </w:tcPr>
          <w:p w14:paraId="2CF1B158" w14:textId="77777777" w:rsidR="00315FC5" w:rsidRPr="00A1292E" w:rsidRDefault="00315FC5" w:rsidP="00A66280">
            <w:pPr>
              <w:rPr>
                <w:i/>
              </w:rPr>
            </w:pPr>
            <w:r w:rsidRPr="00A1292E">
              <w:rPr>
                <w:i/>
              </w:rPr>
              <w:t>Надія Ковалевич</w:t>
            </w:r>
          </w:p>
        </w:tc>
      </w:tr>
      <w:tr w:rsidR="00315FC5" w:rsidRPr="00B1020A" w14:paraId="0AE88EDD" w14:textId="77777777" w:rsidTr="00A66280">
        <w:trPr>
          <w:trHeight w:val="206"/>
        </w:trPr>
        <w:tc>
          <w:tcPr>
            <w:tcW w:w="4810" w:type="dxa"/>
            <w:tcBorders>
              <w:left w:val="single" w:sz="8" w:space="0" w:color="D9D9D9"/>
              <w:bottom w:val="single" w:sz="8" w:space="0" w:color="D9D9D9"/>
              <w:right w:val="single" w:sz="8" w:space="0" w:color="D9D9D9"/>
            </w:tcBorders>
            <w:tcMar>
              <w:top w:w="100" w:type="dxa"/>
              <w:left w:w="100" w:type="dxa"/>
              <w:bottom w:w="100" w:type="dxa"/>
              <w:right w:w="100" w:type="dxa"/>
            </w:tcMar>
          </w:tcPr>
          <w:p w14:paraId="1499CC3A" w14:textId="77777777" w:rsidR="00315FC5" w:rsidRPr="00B1020A" w:rsidRDefault="00315FC5" w:rsidP="00A66280">
            <w:pPr>
              <w:spacing w:after="0" w:line="240" w:lineRule="auto"/>
              <w:jc w:val="both"/>
            </w:pPr>
            <w:r w:rsidRPr="00B1020A">
              <w:lastRenderedPageBreak/>
              <w:t>Адреса електронної пошти контактної особи:</w:t>
            </w:r>
          </w:p>
        </w:tc>
        <w:tc>
          <w:tcPr>
            <w:tcW w:w="4678" w:type="dxa"/>
            <w:tcBorders>
              <w:bottom w:val="single" w:sz="8" w:space="0" w:color="D9D9D9"/>
              <w:right w:val="single" w:sz="8" w:space="0" w:color="D9D9D9"/>
            </w:tcBorders>
            <w:tcMar>
              <w:top w:w="100" w:type="dxa"/>
              <w:left w:w="100" w:type="dxa"/>
              <w:bottom w:w="100" w:type="dxa"/>
              <w:right w:w="100" w:type="dxa"/>
            </w:tcMar>
          </w:tcPr>
          <w:p w14:paraId="6B3C7F32" w14:textId="77777777" w:rsidR="00315FC5" w:rsidRPr="00A1292E" w:rsidRDefault="00315FC5" w:rsidP="00A66280">
            <w:pPr>
              <w:rPr>
                <w:i/>
              </w:rPr>
            </w:pPr>
            <w:r w:rsidRPr="00A1292E">
              <w:rPr>
                <w:i/>
              </w:rPr>
              <w:t>kovalevych@unfpa.org</w:t>
            </w:r>
          </w:p>
        </w:tc>
      </w:tr>
    </w:tbl>
    <w:p w14:paraId="16BD64C4" w14:textId="77777777" w:rsidR="00315FC5" w:rsidRPr="00B1020A" w:rsidRDefault="00315FC5" w:rsidP="00315FC5">
      <w:pPr>
        <w:spacing w:after="0" w:line="240" w:lineRule="auto"/>
        <w:jc w:val="both"/>
      </w:pPr>
      <w:r w:rsidRPr="00B1020A">
        <w:t xml:space="preserve"> </w:t>
      </w:r>
    </w:p>
    <w:p w14:paraId="7ACF7AAE" w14:textId="77777777" w:rsidR="00315FC5" w:rsidRPr="00B1020A" w:rsidRDefault="00315FC5" w:rsidP="00315FC5">
      <w:pPr>
        <w:spacing w:after="0" w:line="240" w:lineRule="auto"/>
        <w:jc w:val="both"/>
      </w:pPr>
      <w:r w:rsidRPr="00B1020A">
        <w:t>Якщо ви не маєте можливості взяти участь у дебрифінгу, прохання надіслати свої запитання та запити щодо комерційної пропозиції контактній особі в UNFPA (див. контактні дані у наведеній вище таблиці).</w:t>
      </w:r>
    </w:p>
    <w:p w14:paraId="04A2705B" w14:textId="77777777" w:rsidR="00315FC5" w:rsidRPr="00B1020A" w:rsidRDefault="00315FC5" w:rsidP="00315FC5">
      <w:pPr>
        <w:spacing w:after="0" w:line="240" w:lineRule="auto"/>
        <w:jc w:val="both"/>
      </w:pPr>
      <w:r w:rsidRPr="00B1020A">
        <w:t xml:space="preserve"> </w:t>
      </w:r>
    </w:p>
    <w:p w14:paraId="66BD125F" w14:textId="77777777" w:rsidR="00315FC5" w:rsidRPr="00B1020A" w:rsidRDefault="00315FC5" w:rsidP="00315FC5">
      <w:pPr>
        <w:spacing w:after="0" w:line="240" w:lineRule="auto"/>
        <w:jc w:val="both"/>
      </w:pPr>
      <w:r w:rsidRPr="00B1020A">
        <w:t>На ці запитання буде надано письмову відповідь, яку буде повідомлено всім сторонам якнайшвидше.</w:t>
      </w:r>
    </w:p>
    <w:p w14:paraId="7E76B301" w14:textId="21191F4A" w:rsidR="00315FC5" w:rsidRPr="00B1020A" w:rsidRDefault="00315FC5" w:rsidP="00315FC5">
      <w:pPr>
        <w:tabs>
          <w:tab w:val="left" w:pos="6630"/>
          <w:tab w:val="left" w:pos="9120"/>
        </w:tabs>
        <w:spacing w:after="0" w:line="240" w:lineRule="auto"/>
        <w:jc w:val="both"/>
      </w:pPr>
      <w:r w:rsidRPr="00B1020A">
        <w:t xml:space="preserve">Кінцевий термін подання запитань </w:t>
      </w:r>
      <w:r w:rsidR="007F1505">
        <w:rPr>
          <w:b/>
        </w:rPr>
        <w:t>28</w:t>
      </w:r>
      <w:r>
        <w:rPr>
          <w:b/>
        </w:rPr>
        <w:t xml:space="preserve"> </w:t>
      </w:r>
      <w:r w:rsidR="007F1505">
        <w:rPr>
          <w:b/>
        </w:rPr>
        <w:t>липня</w:t>
      </w:r>
      <w:r w:rsidRPr="00B1020A">
        <w:rPr>
          <w:b/>
        </w:rPr>
        <w:t>, 2022, 17:00 год  за Київським часом.</w:t>
      </w:r>
    </w:p>
    <w:p w14:paraId="2D704FFB" w14:textId="77777777" w:rsidR="005C4D7D" w:rsidRDefault="005C4D7D">
      <w:pPr>
        <w:spacing w:after="0" w:line="240" w:lineRule="auto"/>
        <w:jc w:val="both"/>
      </w:pPr>
    </w:p>
    <w:p w14:paraId="48B9133F" w14:textId="77777777" w:rsidR="005C4D7D" w:rsidRDefault="00166916">
      <w:pPr>
        <w:spacing w:after="0" w:line="240" w:lineRule="auto"/>
        <w:rPr>
          <w:b/>
        </w:rPr>
      </w:pPr>
      <w:r>
        <w:rPr>
          <w:b/>
        </w:rPr>
        <w:t>III. Зміст пропозицій</w:t>
      </w:r>
    </w:p>
    <w:p w14:paraId="7F24212A" w14:textId="77777777" w:rsidR="005C4D7D" w:rsidRDefault="005C4D7D">
      <w:pPr>
        <w:spacing w:after="0" w:line="240" w:lineRule="auto"/>
        <w:rPr>
          <w:b/>
        </w:rPr>
      </w:pPr>
    </w:p>
    <w:p w14:paraId="28193AD3" w14:textId="7206DC2D" w:rsidR="005C4D7D" w:rsidRDefault="00166916">
      <w:pPr>
        <w:tabs>
          <w:tab w:val="left" w:pos="720"/>
          <w:tab w:val="left" w:pos="1620"/>
          <w:tab w:val="left" w:pos="2250"/>
          <w:tab w:val="left" w:pos="2880"/>
          <w:tab w:val="left" w:pos="3600"/>
          <w:tab w:val="left" w:pos="4410"/>
          <w:tab w:val="left" w:pos="5040"/>
          <w:tab w:val="left" w:pos="5760"/>
          <w:tab w:val="left" w:pos="6480"/>
          <w:tab w:val="left" w:pos="7290"/>
          <w:tab w:val="left" w:pos="7920"/>
          <w:tab w:val="left" w:pos="-180"/>
          <w:tab w:val="left" w:pos="-90"/>
        </w:tabs>
        <w:spacing w:after="0" w:line="240" w:lineRule="auto"/>
        <w:jc w:val="both"/>
      </w:pPr>
      <w:r>
        <w:t>Пропозиції мають надсилатися електронною поштою, за можливістю, одним повідомленням, залежно від розміру файлу та мають вміщувати:</w:t>
      </w:r>
      <w:r w:rsidR="003F1B69">
        <w:t xml:space="preserve"> </w:t>
      </w:r>
    </w:p>
    <w:p w14:paraId="6AF28026" w14:textId="77777777" w:rsidR="005C4D7D" w:rsidRDefault="00166916">
      <w:pPr>
        <w:spacing w:after="0" w:line="240" w:lineRule="auto"/>
        <w:jc w:val="both"/>
        <w:rPr>
          <w:color w:val="000000"/>
        </w:rPr>
      </w:pPr>
      <w:r>
        <w:rPr>
          <w:color w:val="000000"/>
        </w:rPr>
        <w:t>a) Технічну пропозицію, яка повинна містити інформацію, яка б надала докази для оцінки пропозицій відповідно до критеріїв, а також інформацію про юридичну особу.</w:t>
      </w:r>
    </w:p>
    <w:p w14:paraId="742B274A" w14:textId="77777777" w:rsidR="005C4D7D" w:rsidRDefault="00166916">
      <w:pPr>
        <w:spacing w:after="0" w:line="240" w:lineRule="auto"/>
        <w:jc w:val="both"/>
        <w:rPr>
          <w:color w:val="000000"/>
        </w:rPr>
      </w:pPr>
      <w:r>
        <w:rPr>
          <w:color w:val="000000"/>
        </w:rPr>
        <w:t>Технічна заявка повинна бути подана електронним способом передачі за електронною адресою, зазначеною у розділі IV.</w:t>
      </w:r>
    </w:p>
    <w:p w14:paraId="368F3AE5" w14:textId="77777777" w:rsidR="005C4D7D" w:rsidRDefault="00166916">
      <w:pPr>
        <w:spacing w:after="0" w:line="240" w:lineRule="auto"/>
        <w:jc w:val="both"/>
        <w:rPr>
          <w:color w:val="000000"/>
        </w:rPr>
      </w:pPr>
      <w:r>
        <w:rPr>
          <w:color w:val="000000"/>
        </w:rPr>
        <w:t>б) Цінову пропозицію із запропонованими бюджетами слід подавати строго відповідно до форми цінових пропозицій.</w:t>
      </w:r>
    </w:p>
    <w:p w14:paraId="2FD32428" w14:textId="77777777" w:rsidR="005C4D7D" w:rsidRDefault="00166916">
      <w:pPr>
        <w:spacing w:after="0" w:line="240" w:lineRule="auto"/>
        <w:jc w:val="both"/>
        <w:rPr>
          <w:color w:val="000000"/>
        </w:rPr>
      </w:pPr>
      <w:r>
        <w:rPr>
          <w:color w:val="000000"/>
        </w:rPr>
        <w:t>в) Мова пропозиції - англійська чи українська.</w:t>
      </w:r>
    </w:p>
    <w:p w14:paraId="521ED883" w14:textId="77777777" w:rsidR="005C4D7D" w:rsidRDefault="00166916">
      <w:pPr>
        <w:spacing w:after="0" w:line="240" w:lineRule="auto"/>
        <w:jc w:val="both"/>
        <w:rPr>
          <w:b/>
          <w:color w:val="000000"/>
        </w:rPr>
      </w:pPr>
      <w:r>
        <w:rPr>
          <w:b/>
          <w:color w:val="000000"/>
        </w:rPr>
        <w:t xml:space="preserve">d) Технічна пропозиція та фінансова пропозиція повинні бути подані </w:t>
      </w:r>
      <w:r>
        <w:rPr>
          <w:b/>
          <w:color w:val="FF0000"/>
        </w:rPr>
        <w:t>окремими файлами</w:t>
      </w:r>
      <w:r>
        <w:rPr>
          <w:b/>
          <w:color w:val="000000"/>
        </w:rPr>
        <w:t xml:space="preserve"> та бути підписаними відповідним органом чи особою, що подається на торги, та бути поданими у форматі PDF.</w:t>
      </w:r>
    </w:p>
    <w:p w14:paraId="04650C75" w14:textId="77777777" w:rsidR="005C4D7D" w:rsidRDefault="005C4D7D">
      <w:pPr>
        <w:spacing w:after="0" w:line="240" w:lineRule="auto"/>
        <w:jc w:val="both"/>
      </w:pPr>
    </w:p>
    <w:p w14:paraId="0FCDE0EB" w14:textId="77777777" w:rsidR="00315FC5" w:rsidRPr="00315FC5" w:rsidRDefault="00315FC5" w:rsidP="00315FC5">
      <w:pPr>
        <w:spacing w:line="240" w:lineRule="auto"/>
        <w:ind w:firstLine="360"/>
        <w:jc w:val="both"/>
        <w:rPr>
          <w:rFonts w:ascii="Times New Roman" w:eastAsia="Times New Roman" w:hAnsi="Times New Roman" w:cs="Times New Roman"/>
          <w:sz w:val="24"/>
          <w:szCs w:val="24"/>
          <w:lang w:eastAsia="en-US"/>
        </w:rPr>
      </w:pPr>
      <w:r w:rsidRPr="007E4912">
        <w:rPr>
          <w:rFonts w:eastAsia="Times New Roman"/>
          <w:b/>
          <w:bCs/>
          <w:color w:val="000000"/>
          <w:lang w:val="en-US" w:eastAsia="en-US"/>
        </w:rPr>
        <w:t>IV</w:t>
      </w:r>
      <w:r w:rsidRPr="00315FC5">
        <w:rPr>
          <w:rFonts w:eastAsia="Times New Roman"/>
          <w:b/>
          <w:bCs/>
          <w:color w:val="000000"/>
          <w:lang w:eastAsia="en-US"/>
        </w:rPr>
        <w:t>.</w:t>
      </w:r>
      <w:r w:rsidRPr="00315FC5">
        <w:rPr>
          <w:rFonts w:eastAsia="Times New Roman"/>
          <w:b/>
          <w:bCs/>
          <w:color w:val="000000"/>
          <w:lang w:eastAsia="en-US"/>
        </w:rPr>
        <w:tab/>
        <w:t>Інструкції для подання пропозицій</w:t>
      </w:r>
    </w:p>
    <w:p w14:paraId="683A4261" w14:textId="1B65DCA0" w:rsidR="00315FC5" w:rsidRPr="007E4912" w:rsidRDefault="00315FC5" w:rsidP="00315FC5">
      <w:pPr>
        <w:spacing w:line="240" w:lineRule="auto"/>
        <w:ind w:firstLine="360"/>
        <w:jc w:val="both"/>
        <w:rPr>
          <w:rFonts w:ascii="Times New Roman" w:eastAsia="Times New Roman" w:hAnsi="Times New Roman" w:cs="Times New Roman"/>
          <w:sz w:val="24"/>
          <w:szCs w:val="24"/>
          <w:lang w:val="ru-RU" w:eastAsia="en-US"/>
        </w:rPr>
      </w:pPr>
      <w:r w:rsidRPr="00315FC5">
        <w:rPr>
          <w:rFonts w:eastAsia="Times New Roman"/>
          <w:color w:val="000000"/>
          <w:lang w:eastAsia="en-US"/>
        </w:rPr>
        <w:t xml:space="preserve">Пропозицію потрібно підготувати згідно з положеннями Розділів </w:t>
      </w:r>
      <w:r w:rsidRPr="007E4912">
        <w:rPr>
          <w:rFonts w:eastAsia="Times New Roman"/>
          <w:color w:val="000000"/>
          <w:lang w:val="en-US" w:eastAsia="en-US"/>
        </w:rPr>
        <w:t>IV</w:t>
      </w:r>
      <w:r w:rsidRPr="00315FC5">
        <w:rPr>
          <w:rFonts w:eastAsia="Times New Roman"/>
          <w:color w:val="000000"/>
          <w:lang w:eastAsia="en-US"/>
        </w:rPr>
        <w:t xml:space="preserve"> та </w:t>
      </w:r>
      <w:r w:rsidRPr="007E4912">
        <w:rPr>
          <w:rFonts w:eastAsia="Times New Roman"/>
          <w:color w:val="000000"/>
          <w:lang w:val="en-US" w:eastAsia="en-US"/>
        </w:rPr>
        <w:t>III</w:t>
      </w:r>
      <w:r w:rsidRPr="00315FC5">
        <w:rPr>
          <w:rFonts w:eastAsia="Times New Roman"/>
          <w:color w:val="000000"/>
          <w:lang w:eastAsia="en-US"/>
        </w:rPr>
        <w:t xml:space="preserve">, до неї необхідно додати відповідним чином заповнену і підписану форму цінової пропозиції та надіслати документи контактній особі лише на зазначену захищену адресу електронної пошти не пізніше: </w:t>
      </w:r>
      <w:r w:rsidR="007F1505">
        <w:rPr>
          <w:rFonts w:eastAsia="Times New Roman"/>
          <w:b/>
          <w:color w:val="000000"/>
          <w:lang w:eastAsia="en-US"/>
        </w:rPr>
        <w:t>вівторок</w:t>
      </w:r>
      <w:r w:rsidRPr="00315FC5">
        <w:rPr>
          <w:rFonts w:eastAsia="Times New Roman"/>
          <w:b/>
          <w:bCs/>
          <w:color w:val="000000"/>
          <w:lang w:eastAsia="en-US"/>
        </w:rPr>
        <w:t xml:space="preserve">, </w:t>
      </w:r>
      <w:r w:rsidR="007F1505">
        <w:rPr>
          <w:rFonts w:eastAsia="Times New Roman"/>
          <w:b/>
          <w:bCs/>
          <w:color w:val="000000"/>
          <w:lang w:eastAsia="en-US"/>
        </w:rPr>
        <w:t>02</w:t>
      </w:r>
      <w:r w:rsidRPr="00315FC5">
        <w:rPr>
          <w:rFonts w:eastAsia="Times New Roman"/>
          <w:b/>
          <w:bCs/>
          <w:color w:val="000000"/>
          <w:lang w:eastAsia="en-US"/>
        </w:rPr>
        <w:t xml:space="preserve"> </w:t>
      </w:r>
      <w:r w:rsidR="007F1505">
        <w:rPr>
          <w:rFonts w:eastAsia="Times New Roman"/>
          <w:b/>
          <w:bCs/>
          <w:color w:val="000000"/>
          <w:lang w:eastAsia="en-US"/>
        </w:rPr>
        <w:t>серпня</w:t>
      </w:r>
      <w:r w:rsidRPr="00315FC5">
        <w:rPr>
          <w:rFonts w:eastAsia="Times New Roman"/>
          <w:b/>
          <w:bCs/>
          <w:color w:val="000000"/>
          <w:lang w:eastAsia="en-US"/>
        </w:rPr>
        <w:t>, 2022, 17:00 год</w:t>
      </w:r>
      <w:r w:rsidRPr="007E4912">
        <w:rPr>
          <w:rFonts w:eastAsia="Times New Roman"/>
          <w:b/>
          <w:bCs/>
          <w:color w:val="000000"/>
          <w:lang w:val="en-US" w:eastAsia="en-US"/>
        </w:rPr>
        <w:t> </w:t>
      </w:r>
      <w:r w:rsidRPr="00315FC5">
        <w:rPr>
          <w:rFonts w:eastAsia="Times New Roman"/>
          <w:b/>
          <w:bCs/>
          <w:color w:val="000000"/>
          <w:lang w:eastAsia="en-US"/>
        </w:rPr>
        <w:t xml:space="preserve"> за Київським часом</w:t>
      </w:r>
      <w:r w:rsidRPr="00315FC5">
        <w:rPr>
          <w:rFonts w:eastAsia="Times New Roman"/>
          <w:color w:val="000000"/>
          <w:lang w:eastAsia="en-US"/>
        </w:rPr>
        <w:t xml:space="preserve">. </w:t>
      </w:r>
      <w:r w:rsidRPr="007E4912">
        <w:rPr>
          <w:rFonts w:eastAsia="Times New Roman"/>
          <w:color w:val="000000"/>
          <w:lang w:val="ru-RU" w:eastAsia="en-US"/>
        </w:rPr>
        <w:t>Пропозиції, надіслані на будь-яку іншу адресу електронної пошти, не розглядатимуться.</w:t>
      </w:r>
    </w:p>
    <w:tbl>
      <w:tblPr>
        <w:tblW w:w="0" w:type="auto"/>
        <w:jc w:val="center"/>
        <w:tblCellMar>
          <w:top w:w="15" w:type="dxa"/>
          <w:left w:w="15" w:type="dxa"/>
          <w:bottom w:w="15" w:type="dxa"/>
          <w:right w:w="15" w:type="dxa"/>
        </w:tblCellMar>
        <w:tblLook w:val="04A0" w:firstRow="1" w:lastRow="0" w:firstColumn="1" w:lastColumn="0" w:noHBand="0" w:noVBand="1"/>
      </w:tblPr>
      <w:tblGrid>
        <w:gridCol w:w="4453"/>
        <w:gridCol w:w="2798"/>
      </w:tblGrid>
      <w:tr w:rsidR="00315FC5" w:rsidRPr="007E4912" w14:paraId="51F5D2ED" w14:textId="77777777" w:rsidTr="00A66280">
        <w:trPr>
          <w:trHeight w:val="444"/>
          <w:jc w:val="center"/>
        </w:trPr>
        <w:tc>
          <w:tcPr>
            <w:tcW w:w="0" w:type="auto"/>
            <w:tcBorders>
              <w:top w:val="single" w:sz="4" w:space="0" w:color="D9D9D9"/>
              <w:left w:val="single" w:sz="4" w:space="0" w:color="D9D9D9"/>
              <w:bottom w:val="single" w:sz="4" w:space="0" w:color="D9D9D9"/>
              <w:right w:val="single" w:sz="4" w:space="0" w:color="D9D9D9"/>
            </w:tcBorders>
            <w:tcMar>
              <w:top w:w="0" w:type="dxa"/>
              <w:left w:w="108" w:type="dxa"/>
              <w:bottom w:w="0" w:type="dxa"/>
              <w:right w:w="108" w:type="dxa"/>
            </w:tcMar>
            <w:vAlign w:val="center"/>
            <w:hideMark/>
          </w:tcPr>
          <w:p w14:paraId="1E11671F" w14:textId="77777777" w:rsidR="00315FC5" w:rsidRPr="007E4912" w:rsidRDefault="00315FC5" w:rsidP="00A66280">
            <w:pPr>
              <w:spacing w:line="240" w:lineRule="auto"/>
              <w:jc w:val="both"/>
              <w:rPr>
                <w:rFonts w:ascii="Times New Roman" w:eastAsia="Times New Roman" w:hAnsi="Times New Roman" w:cs="Times New Roman"/>
                <w:sz w:val="24"/>
                <w:szCs w:val="24"/>
                <w:lang w:val="ru-RU" w:eastAsia="en-US"/>
              </w:rPr>
            </w:pPr>
            <w:r w:rsidRPr="007E4912">
              <w:rPr>
                <w:rFonts w:eastAsia="Times New Roman"/>
                <w:color w:val="000000"/>
                <w:lang w:val="ru-RU" w:eastAsia="en-US"/>
              </w:rPr>
              <w:t xml:space="preserve">Ім'я та прізвище контактної особи в </w:t>
            </w:r>
            <w:r w:rsidRPr="007E4912">
              <w:rPr>
                <w:rFonts w:eastAsia="Times New Roman"/>
                <w:color w:val="000000"/>
                <w:lang w:val="en-US" w:eastAsia="en-US"/>
              </w:rPr>
              <w:t>UNFPA</w:t>
            </w:r>
            <w:r w:rsidRPr="007E4912">
              <w:rPr>
                <w:rFonts w:eastAsia="Times New Roman"/>
                <w:color w:val="000000"/>
                <w:lang w:val="ru-RU" w:eastAsia="en-US"/>
              </w:rPr>
              <w:t>:</w:t>
            </w:r>
          </w:p>
        </w:tc>
        <w:tc>
          <w:tcPr>
            <w:tcW w:w="0" w:type="auto"/>
            <w:tcBorders>
              <w:top w:val="single" w:sz="4" w:space="0" w:color="D9D9D9"/>
              <w:left w:val="single" w:sz="4" w:space="0" w:color="D9D9D9"/>
              <w:bottom w:val="single" w:sz="4" w:space="0" w:color="D9D9D9"/>
              <w:right w:val="single" w:sz="4" w:space="0" w:color="D9D9D9"/>
            </w:tcBorders>
            <w:tcMar>
              <w:top w:w="0" w:type="dxa"/>
              <w:left w:w="108" w:type="dxa"/>
              <w:bottom w:w="0" w:type="dxa"/>
              <w:right w:w="108" w:type="dxa"/>
            </w:tcMar>
            <w:hideMark/>
          </w:tcPr>
          <w:p w14:paraId="1CADC89C" w14:textId="77777777" w:rsidR="00315FC5" w:rsidRPr="007E4912" w:rsidRDefault="00315FC5" w:rsidP="00A66280">
            <w:pPr>
              <w:spacing w:line="240" w:lineRule="auto"/>
              <w:jc w:val="both"/>
              <w:rPr>
                <w:rFonts w:ascii="Times New Roman" w:eastAsia="Times New Roman" w:hAnsi="Times New Roman" w:cs="Times New Roman"/>
                <w:sz w:val="24"/>
                <w:szCs w:val="24"/>
                <w:lang w:val="en-US" w:eastAsia="en-US"/>
              </w:rPr>
            </w:pPr>
            <w:proofErr w:type="spellStart"/>
            <w:r w:rsidRPr="007E4912">
              <w:rPr>
                <w:rFonts w:eastAsia="Times New Roman"/>
                <w:i/>
                <w:iCs/>
                <w:color w:val="000000"/>
                <w:lang w:val="en-US" w:eastAsia="en-US"/>
              </w:rPr>
              <w:t>Ірина</w:t>
            </w:r>
            <w:proofErr w:type="spellEnd"/>
            <w:r w:rsidRPr="007E4912">
              <w:rPr>
                <w:rFonts w:eastAsia="Times New Roman"/>
                <w:i/>
                <w:iCs/>
                <w:color w:val="000000"/>
                <w:lang w:val="en-US" w:eastAsia="en-US"/>
              </w:rPr>
              <w:t xml:space="preserve"> </w:t>
            </w:r>
            <w:proofErr w:type="spellStart"/>
            <w:r w:rsidRPr="007E4912">
              <w:rPr>
                <w:rFonts w:eastAsia="Times New Roman"/>
                <w:i/>
                <w:iCs/>
                <w:color w:val="000000"/>
                <w:lang w:val="en-US" w:eastAsia="en-US"/>
              </w:rPr>
              <w:t>Богун</w:t>
            </w:r>
            <w:proofErr w:type="spellEnd"/>
          </w:p>
        </w:tc>
      </w:tr>
      <w:tr w:rsidR="00315FC5" w:rsidRPr="007E4912" w14:paraId="30E8D5FC" w14:textId="77777777" w:rsidTr="00A66280">
        <w:trPr>
          <w:trHeight w:val="1"/>
          <w:jc w:val="center"/>
        </w:trPr>
        <w:tc>
          <w:tcPr>
            <w:tcW w:w="0" w:type="auto"/>
            <w:tcBorders>
              <w:top w:val="single" w:sz="4" w:space="0" w:color="D9D9D9"/>
              <w:left w:val="single" w:sz="4" w:space="0" w:color="D9D9D9"/>
              <w:bottom w:val="single" w:sz="4" w:space="0" w:color="D9D9D9"/>
              <w:right w:val="single" w:sz="4" w:space="0" w:color="D9D9D9"/>
            </w:tcBorders>
            <w:tcMar>
              <w:top w:w="0" w:type="dxa"/>
              <w:left w:w="108" w:type="dxa"/>
              <w:bottom w:w="0" w:type="dxa"/>
              <w:right w:w="108" w:type="dxa"/>
            </w:tcMar>
            <w:vAlign w:val="center"/>
            <w:hideMark/>
          </w:tcPr>
          <w:p w14:paraId="5EA9A829" w14:textId="77777777" w:rsidR="00315FC5" w:rsidRPr="007E4912" w:rsidRDefault="00315FC5" w:rsidP="00A66280">
            <w:pPr>
              <w:spacing w:line="240" w:lineRule="auto"/>
              <w:jc w:val="both"/>
              <w:rPr>
                <w:rFonts w:ascii="Times New Roman" w:eastAsia="Times New Roman" w:hAnsi="Times New Roman" w:cs="Times New Roman"/>
                <w:sz w:val="24"/>
                <w:szCs w:val="24"/>
                <w:lang w:val="ru-RU" w:eastAsia="en-US"/>
              </w:rPr>
            </w:pPr>
            <w:r w:rsidRPr="007E4912">
              <w:rPr>
                <w:rFonts w:eastAsia="Times New Roman"/>
                <w:color w:val="000000"/>
                <w:lang w:val="ru-RU" w:eastAsia="en-US"/>
              </w:rPr>
              <w:t>Адреса електронної пошти контактної особи:</w:t>
            </w:r>
          </w:p>
        </w:tc>
        <w:tc>
          <w:tcPr>
            <w:tcW w:w="0" w:type="auto"/>
            <w:tcBorders>
              <w:top w:val="single" w:sz="4" w:space="0" w:color="D9D9D9"/>
              <w:left w:val="single" w:sz="4" w:space="0" w:color="D9D9D9"/>
              <w:bottom w:val="single" w:sz="4" w:space="0" w:color="D9D9D9"/>
              <w:right w:val="single" w:sz="4" w:space="0" w:color="D9D9D9"/>
            </w:tcBorders>
            <w:tcMar>
              <w:top w:w="0" w:type="dxa"/>
              <w:left w:w="108" w:type="dxa"/>
              <w:bottom w:w="0" w:type="dxa"/>
              <w:right w:w="108" w:type="dxa"/>
            </w:tcMar>
            <w:hideMark/>
          </w:tcPr>
          <w:p w14:paraId="2DA51379" w14:textId="77777777" w:rsidR="00315FC5" w:rsidRPr="007E4912" w:rsidRDefault="00315FC5" w:rsidP="00A66280">
            <w:pPr>
              <w:spacing w:line="240" w:lineRule="auto"/>
              <w:jc w:val="both"/>
              <w:rPr>
                <w:rFonts w:ascii="Times New Roman" w:eastAsia="Times New Roman" w:hAnsi="Times New Roman" w:cs="Times New Roman"/>
                <w:sz w:val="24"/>
                <w:szCs w:val="24"/>
                <w:lang w:val="en-US" w:eastAsia="en-US"/>
              </w:rPr>
            </w:pPr>
            <w:r w:rsidRPr="007E4912">
              <w:rPr>
                <w:rFonts w:eastAsia="Times New Roman"/>
                <w:b/>
                <w:bCs/>
                <w:color w:val="000000"/>
                <w:lang w:val="en-US" w:eastAsia="en-US"/>
              </w:rPr>
              <w:t>ua-procurement@unfpa.org</w:t>
            </w:r>
          </w:p>
        </w:tc>
      </w:tr>
    </w:tbl>
    <w:p w14:paraId="6F65F3E5" w14:textId="77777777" w:rsidR="00315FC5" w:rsidRPr="007E4912" w:rsidRDefault="00315FC5" w:rsidP="00315FC5">
      <w:pPr>
        <w:spacing w:after="0" w:line="240" w:lineRule="auto"/>
        <w:rPr>
          <w:rFonts w:ascii="Times New Roman" w:eastAsia="Times New Roman" w:hAnsi="Times New Roman" w:cs="Times New Roman"/>
          <w:sz w:val="24"/>
          <w:szCs w:val="24"/>
          <w:lang w:val="en-US" w:eastAsia="en-US"/>
        </w:rPr>
      </w:pPr>
    </w:p>
    <w:p w14:paraId="354A7FBE" w14:textId="77777777" w:rsidR="00315FC5" w:rsidRPr="007E4912" w:rsidRDefault="00315FC5" w:rsidP="00315FC5">
      <w:pPr>
        <w:spacing w:line="240" w:lineRule="auto"/>
        <w:jc w:val="both"/>
        <w:rPr>
          <w:rFonts w:ascii="Times New Roman" w:eastAsia="Times New Roman" w:hAnsi="Times New Roman" w:cs="Times New Roman"/>
          <w:sz w:val="24"/>
          <w:szCs w:val="24"/>
          <w:lang w:val="ru-RU" w:eastAsia="en-US"/>
        </w:rPr>
      </w:pPr>
      <w:r w:rsidRPr="007E4912">
        <w:rPr>
          <w:rFonts w:eastAsia="Times New Roman"/>
          <w:color w:val="000000"/>
          <w:lang w:val="ru-RU" w:eastAsia="en-US"/>
        </w:rPr>
        <w:t>Зверніть увагу на наступні інструкції щодо подання пропозицій електронною поштою:</w:t>
      </w:r>
    </w:p>
    <w:p w14:paraId="06137711" w14:textId="4550A62F" w:rsidR="00315FC5" w:rsidRPr="007E4912" w:rsidRDefault="00315FC5" w:rsidP="00315FC5">
      <w:pPr>
        <w:numPr>
          <w:ilvl w:val="0"/>
          <w:numId w:val="13"/>
        </w:numPr>
        <w:spacing w:after="0" w:line="240" w:lineRule="auto"/>
        <w:ind w:left="360"/>
        <w:jc w:val="both"/>
        <w:textAlignment w:val="baseline"/>
        <w:rPr>
          <w:rFonts w:eastAsia="Times New Roman"/>
          <w:b/>
          <w:bCs/>
          <w:color w:val="000000"/>
          <w:lang w:val="ru-RU" w:eastAsia="en-US"/>
        </w:rPr>
      </w:pPr>
      <w:r w:rsidRPr="007E4912">
        <w:rPr>
          <w:rFonts w:eastAsia="Times New Roman"/>
          <w:color w:val="000000"/>
          <w:lang w:val="ru-RU" w:eastAsia="en-US"/>
        </w:rPr>
        <w:t xml:space="preserve">Тема повідомлення має включати таке посилання: </w:t>
      </w:r>
      <w:r w:rsidRPr="007E4912">
        <w:rPr>
          <w:rFonts w:eastAsia="Times New Roman"/>
          <w:b/>
          <w:bCs/>
          <w:color w:val="000000"/>
          <w:lang w:val="en-US" w:eastAsia="en-US"/>
        </w:rPr>
        <w:t>RFQ</w:t>
      </w:r>
      <w:r w:rsidRPr="007E4912">
        <w:rPr>
          <w:rFonts w:eastAsia="Times New Roman"/>
          <w:b/>
          <w:bCs/>
          <w:color w:val="000000"/>
          <w:lang w:val="ru-RU" w:eastAsia="en-US"/>
        </w:rPr>
        <w:t xml:space="preserve"> </w:t>
      </w:r>
      <w:r w:rsidRPr="007E4912">
        <w:rPr>
          <w:rFonts w:eastAsia="Times New Roman"/>
          <w:b/>
          <w:bCs/>
          <w:color w:val="000000"/>
          <w:lang w:val="en-US" w:eastAsia="en-US"/>
        </w:rPr>
        <w:t>N</w:t>
      </w:r>
      <w:r w:rsidRPr="007E4912">
        <w:rPr>
          <w:rFonts w:eastAsia="Times New Roman"/>
          <w:b/>
          <w:bCs/>
          <w:color w:val="000000"/>
          <w:lang w:val="ru-RU" w:eastAsia="en-US"/>
        </w:rPr>
        <w:t xml:space="preserve">º </w:t>
      </w:r>
      <w:r w:rsidRPr="007E4912">
        <w:rPr>
          <w:rFonts w:eastAsia="Times New Roman"/>
          <w:b/>
          <w:bCs/>
          <w:color w:val="000000"/>
          <w:lang w:val="en-US" w:eastAsia="en-US"/>
        </w:rPr>
        <w:t>UNFPA</w:t>
      </w:r>
      <w:r w:rsidRPr="007E4912">
        <w:rPr>
          <w:rFonts w:eastAsia="Times New Roman"/>
          <w:b/>
          <w:bCs/>
          <w:color w:val="000000"/>
          <w:lang w:val="ru-RU" w:eastAsia="en-US"/>
        </w:rPr>
        <w:t>/</w:t>
      </w:r>
      <w:r w:rsidRPr="007E4912">
        <w:rPr>
          <w:rFonts w:eastAsia="Times New Roman"/>
          <w:b/>
          <w:bCs/>
          <w:color w:val="000000"/>
          <w:lang w:val="en-US" w:eastAsia="en-US"/>
        </w:rPr>
        <w:t>UKR</w:t>
      </w:r>
      <w:r w:rsidRPr="007E4912">
        <w:rPr>
          <w:rFonts w:eastAsia="Times New Roman"/>
          <w:b/>
          <w:bCs/>
          <w:color w:val="000000"/>
          <w:lang w:val="ru-RU" w:eastAsia="en-US"/>
        </w:rPr>
        <w:t>/</w:t>
      </w:r>
      <w:r w:rsidRPr="007E4912">
        <w:rPr>
          <w:rFonts w:eastAsia="Times New Roman"/>
          <w:b/>
          <w:bCs/>
          <w:color w:val="000000"/>
          <w:lang w:val="en-US" w:eastAsia="en-US"/>
        </w:rPr>
        <w:t>RFQ</w:t>
      </w:r>
      <w:r w:rsidRPr="007E4912">
        <w:rPr>
          <w:rFonts w:eastAsia="Times New Roman"/>
          <w:b/>
          <w:bCs/>
          <w:color w:val="000000"/>
          <w:lang w:val="ru-RU" w:eastAsia="en-US"/>
        </w:rPr>
        <w:t>/22/</w:t>
      </w:r>
      <w:r>
        <w:rPr>
          <w:rFonts w:eastAsia="Times New Roman"/>
          <w:b/>
          <w:bCs/>
          <w:color w:val="000000"/>
          <w:lang w:val="ru-RU" w:eastAsia="en-US"/>
        </w:rPr>
        <w:t>1</w:t>
      </w:r>
      <w:r w:rsidR="007F1505">
        <w:rPr>
          <w:rFonts w:eastAsia="Times New Roman"/>
          <w:b/>
          <w:bCs/>
          <w:color w:val="000000"/>
          <w:lang w:val="ru-RU" w:eastAsia="en-US"/>
        </w:rPr>
        <w:t>7</w:t>
      </w:r>
      <w:r w:rsidRPr="007E4912">
        <w:rPr>
          <w:rFonts w:eastAsia="Times New Roman"/>
          <w:b/>
          <w:bCs/>
          <w:color w:val="000000"/>
          <w:lang w:val="ru-RU" w:eastAsia="en-US"/>
        </w:rPr>
        <w:t xml:space="preserve">. </w:t>
      </w:r>
      <w:r w:rsidRPr="007E4912">
        <w:rPr>
          <w:rFonts w:eastAsia="Times New Roman"/>
          <w:color w:val="000000"/>
          <w:lang w:val="ru-RU" w:eastAsia="en-US"/>
        </w:rPr>
        <w:t>Пропозиції, які містять неналежну тему повідомлення можуть бути пропущені адміністратором та, таким чином, не будуть розглянуті.</w:t>
      </w:r>
    </w:p>
    <w:p w14:paraId="33CB6EE4" w14:textId="77777777" w:rsidR="00315FC5" w:rsidRPr="007E4912" w:rsidRDefault="00315FC5" w:rsidP="00315FC5">
      <w:pPr>
        <w:numPr>
          <w:ilvl w:val="0"/>
          <w:numId w:val="13"/>
        </w:numPr>
        <w:spacing w:after="0" w:line="240" w:lineRule="auto"/>
        <w:ind w:left="360"/>
        <w:jc w:val="both"/>
        <w:textAlignment w:val="baseline"/>
        <w:rPr>
          <w:rFonts w:eastAsia="Times New Roman"/>
          <w:color w:val="000000"/>
          <w:lang w:val="ru-RU" w:eastAsia="en-US"/>
        </w:rPr>
      </w:pPr>
      <w:r w:rsidRPr="007E4912">
        <w:rPr>
          <w:rFonts w:eastAsia="Times New Roman"/>
          <w:color w:val="000000"/>
          <w:lang w:val="ru-RU" w:eastAsia="en-US"/>
        </w:rPr>
        <w:t xml:space="preserve">Загальний обсяг повідомлення не повинен перевищувати </w:t>
      </w:r>
      <w:r w:rsidRPr="007E4912">
        <w:rPr>
          <w:rFonts w:eastAsia="Times New Roman"/>
          <w:b/>
          <w:bCs/>
          <w:color w:val="000000"/>
          <w:lang w:val="ru-RU" w:eastAsia="en-US"/>
        </w:rPr>
        <w:t xml:space="preserve">20 </w:t>
      </w:r>
      <w:r w:rsidRPr="007E4912">
        <w:rPr>
          <w:rFonts w:eastAsia="Times New Roman"/>
          <w:b/>
          <w:bCs/>
          <w:color w:val="000000"/>
          <w:lang w:val="en-US" w:eastAsia="en-US"/>
        </w:rPr>
        <w:t>MB</w:t>
      </w:r>
      <w:r w:rsidRPr="007E4912">
        <w:rPr>
          <w:rFonts w:eastAsia="Times New Roman"/>
          <w:b/>
          <w:bCs/>
          <w:color w:val="000000"/>
          <w:lang w:val="ru-RU" w:eastAsia="en-US"/>
        </w:rPr>
        <w:t xml:space="preserve"> (у тому числі сам лист, додатки та заголовки)</w:t>
      </w:r>
      <w:r w:rsidRPr="007E4912">
        <w:rPr>
          <w:rFonts w:eastAsia="Times New Roman"/>
          <w:color w:val="000000"/>
          <w:lang w:val="ru-RU" w:eastAsia="en-US"/>
        </w:rPr>
        <w:t>. При великих розмірах файлу з технічним описом, останні мають надсилатися окремо перед кінцевим строком подання пропозицій.</w:t>
      </w:r>
    </w:p>
    <w:p w14:paraId="1E69DEA5" w14:textId="77777777" w:rsidR="00315FC5" w:rsidRPr="007E4912" w:rsidRDefault="00315FC5" w:rsidP="00315FC5">
      <w:pPr>
        <w:spacing w:after="0" w:line="240" w:lineRule="auto"/>
        <w:rPr>
          <w:rFonts w:ascii="Times New Roman" w:eastAsia="Times New Roman" w:hAnsi="Times New Roman" w:cs="Times New Roman"/>
          <w:sz w:val="24"/>
          <w:szCs w:val="24"/>
          <w:lang w:val="ru-RU" w:eastAsia="en-US"/>
        </w:rPr>
      </w:pPr>
    </w:p>
    <w:p w14:paraId="5E8F3429" w14:textId="77777777" w:rsidR="00315FC5" w:rsidRPr="007E4912" w:rsidRDefault="00315FC5" w:rsidP="00315FC5">
      <w:pPr>
        <w:spacing w:line="240" w:lineRule="auto"/>
        <w:jc w:val="both"/>
        <w:rPr>
          <w:rFonts w:ascii="Times New Roman" w:eastAsia="Times New Roman" w:hAnsi="Times New Roman" w:cs="Times New Roman"/>
          <w:sz w:val="24"/>
          <w:szCs w:val="24"/>
          <w:lang w:val="ru-RU" w:eastAsia="en-US"/>
        </w:rPr>
      </w:pPr>
      <w:r w:rsidRPr="007E4912">
        <w:rPr>
          <w:rFonts w:eastAsia="Times New Roman"/>
          <w:b/>
          <w:bCs/>
          <w:color w:val="000000"/>
          <w:lang w:val="en-US" w:eastAsia="en-US"/>
        </w:rPr>
        <w:t>V</w:t>
      </w:r>
      <w:r w:rsidRPr="007E4912">
        <w:rPr>
          <w:rFonts w:eastAsia="Times New Roman"/>
          <w:b/>
          <w:bCs/>
          <w:color w:val="000000"/>
          <w:lang w:val="ru-RU" w:eastAsia="en-US"/>
        </w:rPr>
        <w:t>. Процедура оцінки пропозицій</w:t>
      </w:r>
    </w:p>
    <w:p w14:paraId="36D0E907" w14:textId="77777777" w:rsidR="00315FC5" w:rsidRPr="007E4912" w:rsidRDefault="00315FC5" w:rsidP="00315FC5">
      <w:pPr>
        <w:spacing w:line="240" w:lineRule="auto"/>
        <w:jc w:val="both"/>
        <w:rPr>
          <w:rFonts w:ascii="Times New Roman" w:eastAsia="Times New Roman" w:hAnsi="Times New Roman" w:cs="Times New Roman"/>
          <w:sz w:val="24"/>
          <w:szCs w:val="24"/>
          <w:lang w:eastAsia="en-US"/>
        </w:rPr>
      </w:pPr>
      <w:r w:rsidRPr="007E4912">
        <w:rPr>
          <w:rFonts w:eastAsia="Times New Roman"/>
          <w:color w:val="000000"/>
          <w:lang w:val="ru-RU" w:eastAsia="en-US"/>
        </w:rPr>
        <w:t>Спеціалізована оціночна комісія проводитиме оцінку пропозицій у два етапи</w:t>
      </w:r>
      <w:r w:rsidRPr="007E4912">
        <w:rPr>
          <w:rFonts w:eastAsia="Times New Roman"/>
          <w:color w:val="000000"/>
          <w:lang w:eastAsia="en-US"/>
        </w:rPr>
        <w:t>. Технічні пропозиції оцінюватимуться попередньо до проведення оцінки цінової пропозиції.</w:t>
      </w:r>
    </w:p>
    <w:p w14:paraId="07888D1C" w14:textId="77777777" w:rsidR="00315FC5" w:rsidRPr="007E4912" w:rsidRDefault="00315FC5" w:rsidP="00315FC5">
      <w:pPr>
        <w:numPr>
          <w:ilvl w:val="0"/>
          <w:numId w:val="14"/>
        </w:numPr>
        <w:spacing w:after="0" w:line="240" w:lineRule="auto"/>
        <w:jc w:val="both"/>
        <w:textAlignment w:val="baseline"/>
        <w:rPr>
          <w:rFonts w:eastAsia="Times New Roman"/>
          <w:b/>
          <w:bCs/>
          <w:color w:val="000000"/>
          <w:lang w:val="ru-RU" w:eastAsia="en-US"/>
        </w:rPr>
      </w:pPr>
      <w:r w:rsidRPr="007E4912">
        <w:rPr>
          <w:rFonts w:eastAsia="Times New Roman"/>
          <w:b/>
          <w:bCs/>
          <w:color w:val="000000"/>
          <w:lang w:val="ru-RU" w:eastAsia="en-US"/>
        </w:rPr>
        <w:t>Оцінка технічних пропозицій (максимально 100 балів)</w:t>
      </w:r>
    </w:p>
    <w:p w14:paraId="638E9079" w14:textId="77777777" w:rsidR="005C4D7D" w:rsidRPr="00315FC5" w:rsidRDefault="005C4D7D">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lang w:val="ru-RU"/>
        </w:rPr>
      </w:pPr>
    </w:p>
    <w:tbl>
      <w:tblPr>
        <w:tblStyle w:val="afff0"/>
        <w:tblW w:w="96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03"/>
        <w:gridCol w:w="1559"/>
        <w:gridCol w:w="1134"/>
        <w:gridCol w:w="1134"/>
        <w:gridCol w:w="1693"/>
      </w:tblGrid>
      <w:tr w:rsidR="005C4D7D" w14:paraId="22D24A75" w14:textId="77777777">
        <w:trPr>
          <w:jc w:val="center"/>
        </w:trPr>
        <w:tc>
          <w:tcPr>
            <w:tcW w:w="4103" w:type="dxa"/>
            <w:tcBorders>
              <w:top w:val="single" w:sz="6" w:space="0" w:color="000080"/>
              <w:left w:val="single" w:sz="6" w:space="0" w:color="000080"/>
              <w:bottom w:val="single" w:sz="6" w:space="0" w:color="000080"/>
              <w:right w:val="single" w:sz="6" w:space="0" w:color="000080"/>
            </w:tcBorders>
            <w:shd w:val="clear" w:color="auto" w:fill="000080"/>
            <w:tcMar>
              <w:left w:w="108" w:type="dxa"/>
              <w:right w:w="108" w:type="dxa"/>
            </w:tcMar>
            <w:vAlign w:val="center"/>
          </w:tcPr>
          <w:p w14:paraId="6F494AE5" w14:textId="77777777" w:rsidR="005C4D7D" w:rsidRDefault="00166916">
            <w:pPr>
              <w:jc w:val="center"/>
            </w:pPr>
            <w:r>
              <w:rPr>
                <w:b/>
                <w:color w:val="FFFFFF"/>
              </w:rPr>
              <w:lastRenderedPageBreak/>
              <w:t>Критерії</w:t>
            </w:r>
          </w:p>
        </w:tc>
        <w:tc>
          <w:tcPr>
            <w:tcW w:w="1559" w:type="dxa"/>
            <w:tcBorders>
              <w:top w:val="single" w:sz="6" w:space="0" w:color="000080"/>
              <w:left w:val="single" w:sz="6" w:space="0" w:color="000080"/>
              <w:bottom w:val="single" w:sz="6" w:space="0" w:color="000080"/>
              <w:right w:val="single" w:sz="6" w:space="0" w:color="000080"/>
            </w:tcBorders>
            <w:shd w:val="clear" w:color="auto" w:fill="000080"/>
            <w:tcMar>
              <w:left w:w="108" w:type="dxa"/>
              <w:right w:w="108" w:type="dxa"/>
            </w:tcMar>
            <w:vAlign w:val="center"/>
          </w:tcPr>
          <w:p w14:paraId="69CB2455" w14:textId="77777777" w:rsidR="005C4D7D" w:rsidRDefault="00166916">
            <w:pPr>
              <w:jc w:val="center"/>
            </w:pPr>
            <w:r>
              <w:rPr>
                <w:color w:val="FFFFFF"/>
              </w:rPr>
              <w:t>[A] Максимальна кількість балів</w:t>
            </w:r>
          </w:p>
        </w:tc>
        <w:tc>
          <w:tcPr>
            <w:tcW w:w="1134" w:type="dxa"/>
            <w:tcBorders>
              <w:top w:val="single" w:sz="6" w:space="0" w:color="000080"/>
              <w:left w:val="single" w:sz="6" w:space="0" w:color="000080"/>
              <w:bottom w:val="single" w:sz="6" w:space="0" w:color="000080"/>
              <w:right w:val="single" w:sz="6" w:space="0" w:color="000080"/>
            </w:tcBorders>
            <w:shd w:val="clear" w:color="auto" w:fill="000080"/>
            <w:tcMar>
              <w:left w:w="108" w:type="dxa"/>
              <w:right w:w="108" w:type="dxa"/>
            </w:tcMar>
            <w:vAlign w:val="center"/>
          </w:tcPr>
          <w:p w14:paraId="313DB582" w14:textId="77777777" w:rsidR="005C4D7D" w:rsidRDefault="00166916">
            <w:pPr>
              <w:jc w:val="center"/>
              <w:rPr>
                <w:color w:val="FFFFFF"/>
              </w:rPr>
            </w:pPr>
            <w:r>
              <w:rPr>
                <w:color w:val="FFFFFF"/>
              </w:rPr>
              <w:t>[B]</w:t>
            </w:r>
          </w:p>
          <w:p w14:paraId="276913E5" w14:textId="77777777" w:rsidR="005C4D7D" w:rsidRDefault="00166916">
            <w:pPr>
              <w:jc w:val="center"/>
            </w:pPr>
            <w:r>
              <w:rPr>
                <w:color w:val="FFFFFF"/>
              </w:rPr>
              <w:t>Отримані бали</w:t>
            </w:r>
          </w:p>
        </w:tc>
        <w:tc>
          <w:tcPr>
            <w:tcW w:w="1134" w:type="dxa"/>
            <w:tcBorders>
              <w:top w:val="single" w:sz="6" w:space="0" w:color="000080"/>
              <w:left w:val="single" w:sz="6" w:space="0" w:color="000080"/>
              <w:bottom w:val="single" w:sz="6" w:space="0" w:color="000080"/>
              <w:right w:val="single" w:sz="6" w:space="0" w:color="000080"/>
            </w:tcBorders>
            <w:shd w:val="clear" w:color="auto" w:fill="000080"/>
            <w:tcMar>
              <w:left w:w="108" w:type="dxa"/>
              <w:right w:w="108" w:type="dxa"/>
            </w:tcMar>
            <w:vAlign w:val="center"/>
          </w:tcPr>
          <w:p w14:paraId="052CFF9A" w14:textId="77777777" w:rsidR="005C4D7D" w:rsidRDefault="00166916">
            <w:pPr>
              <w:jc w:val="center"/>
              <w:rPr>
                <w:color w:val="FFFFFF"/>
              </w:rPr>
            </w:pPr>
            <w:r>
              <w:rPr>
                <w:color w:val="FFFFFF"/>
              </w:rPr>
              <w:t>[C]</w:t>
            </w:r>
          </w:p>
          <w:p w14:paraId="2A566E65" w14:textId="77777777" w:rsidR="005C4D7D" w:rsidRDefault="00166916">
            <w:pPr>
              <w:jc w:val="center"/>
            </w:pPr>
            <w:r>
              <w:rPr>
                <w:color w:val="FFFFFF"/>
              </w:rPr>
              <w:t>Вага (%)</w:t>
            </w:r>
          </w:p>
        </w:tc>
        <w:tc>
          <w:tcPr>
            <w:tcW w:w="1693" w:type="dxa"/>
            <w:tcBorders>
              <w:top w:val="single" w:sz="6" w:space="0" w:color="000080"/>
              <w:left w:val="single" w:sz="6" w:space="0" w:color="000080"/>
              <w:bottom w:val="single" w:sz="6" w:space="0" w:color="000080"/>
              <w:right w:val="single" w:sz="6" w:space="0" w:color="000080"/>
            </w:tcBorders>
            <w:shd w:val="clear" w:color="auto" w:fill="000080"/>
            <w:tcMar>
              <w:left w:w="108" w:type="dxa"/>
              <w:right w:w="108" w:type="dxa"/>
            </w:tcMar>
            <w:vAlign w:val="center"/>
          </w:tcPr>
          <w:p w14:paraId="50D5DC0D" w14:textId="77777777" w:rsidR="005C4D7D" w:rsidRDefault="00166916">
            <w:pPr>
              <w:jc w:val="center"/>
              <w:rPr>
                <w:color w:val="FFFFFF"/>
              </w:rPr>
            </w:pPr>
            <w:r>
              <w:rPr>
                <w:color w:val="FFFFFF"/>
              </w:rPr>
              <w:t>[B] x [C] = [D]</w:t>
            </w:r>
          </w:p>
          <w:p w14:paraId="3767C3E0" w14:textId="77777777" w:rsidR="005C4D7D" w:rsidRDefault="00166916">
            <w:pPr>
              <w:jc w:val="center"/>
            </w:pPr>
            <w:r>
              <w:rPr>
                <w:color w:val="FFFFFF"/>
              </w:rPr>
              <w:t>Загальна кількість балів</w:t>
            </w:r>
          </w:p>
        </w:tc>
      </w:tr>
      <w:tr w:rsidR="005C4D7D" w14:paraId="08F210D0" w14:textId="77777777">
        <w:trPr>
          <w:jc w:val="center"/>
        </w:trPr>
        <w:tc>
          <w:tcPr>
            <w:tcW w:w="4103"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tcPr>
          <w:p w14:paraId="787F3B6C" w14:textId="77777777" w:rsidR="005C4D7D" w:rsidRDefault="002C257B" w:rsidP="00B65566">
            <w:pPr>
              <w:jc w:val="both"/>
            </w:pPr>
            <w:r>
              <w:t xml:space="preserve">Відповідність концепції просування до </w:t>
            </w:r>
            <w:r w:rsidR="00B65566">
              <w:t>специфіки сервісу та завдань</w:t>
            </w:r>
          </w:p>
        </w:tc>
        <w:tc>
          <w:tcPr>
            <w:tcW w:w="1559"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vAlign w:val="center"/>
          </w:tcPr>
          <w:p w14:paraId="4417A508" w14:textId="77777777" w:rsidR="005C4D7D" w:rsidRDefault="00166916">
            <w:pPr>
              <w:jc w:val="center"/>
            </w:pPr>
            <w:r>
              <w:t>100</w:t>
            </w:r>
          </w:p>
        </w:tc>
        <w:tc>
          <w:tcPr>
            <w:tcW w:w="1134"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vAlign w:val="center"/>
          </w:tcPr>
          <w:p w14:paraId="5A22F50D" w14:textId="77777777" w:rsidR="005C4D7D" w:rsidRDefault="005C4D7D"/>
        </w:tc>
        <w:tc>
          <w:tcPr>
            <w:tcW w:w="1134"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vAlign w:val="center"/>
          </w:tcPr>
          <w:p w14:paraId="0A1FE910" w14:textId="77777777" w:rsidR="005C4D7D" w:rsidRDefault="00166916">
            <w:pPr>
              <w:jc w:val="center"/>
            </w:pPr>
            <w:r>
              <w:t>40%</w:t>
            </w:r>
          </w:p>
        </w:tc>
        <w:tc>
          <w:tcPr>
            <w:tcW w:w="1693"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vAlign w:val="center"/>
          </w:tcPr>
          <w:p w14:paraId="053CCF87" w14:textId="77777777" w:rsidR="005C4D7D" w:rsidRDefault="005C4D7D">
            <w:pPr>
              <w:jc w:val="center"/>
            </w:pPr>
          </w:p>
        </w:tc>
      </w:tr>
      <w:tr w:rsidR="005C4D7D" w14:paraId="75B9FBDD" w14:textId="77777777">
        <w:trPr>
          <w:jc w:val="center"/>
        </w:trPr>
        <w:tc>
          <w:tcPr>
            <w:tcW w:w="4103"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tcPr>
          <w:p w14:paraId="497BB9D4" w14:textId="77777777" w:rsidR="005C4D7D" w:rsidRDefault="00582C13" w:rsidP="00582C13">
            <w:pPr>
              <w:jc w:val="both"/>
              <w:rPr>
                <w:highlight w:val="white"/>
              </w:rPr>
            </w:pPr>
            <w:r>
              <w:t>Детальність (глибина)</w:t>
            </w:r>
            <w:r w:rsidR="00166916">
              <w:t xml:space="preserve"> пропрацювання пропозиції: план роботи, </w:t>
            </w:r>
            <w:r>
              <w:t xml:space="preserve">пропозиції </w:t>
            </w:r>
            <w:r w:rsidR="00166916">
              <w:t xml:space="preserve">запропонованих </w:t>
            </w:r>
            <w:r w:rsidR="002C257B">
              <w:t>активностей</w:t>
            </w:r>
            <w:r w:rsidR="00166916">
              <w:t xml:space="preserve"> </w:t>
            </w:r>
            <w:r>
              <w:t>та їх опис</w:t>
            </w:r>
          </w:p>
        </w:tc>
        <w:tc>
          <w:tcPr>
            <w:tcW w:w="1559"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vAlign w:val="center"/>
          </w:tcPr>
          <w:p w14:paraId="2A94D1AF" w14:textId="77777777" w:rsidR="005C4D7D" w:rsidRDefault="00166916">
            <w:pPr>
              <w:jc w:val="center"/>
            </w:pPr>
            <w:r>
              <w:t>100</w:t>
            </w:r>
          </w:p>
        </w:tc>
        <w:tc>
          <w:tcPr>
            <w:tcW w:w="1134"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vAlign w:val="center"/>
          </w:tcPr>
          <w:p w14:paraId="2A3CEDFC" w14:textId="77777777" w:rsidR="005C4D7D" w:rsidRDefault="005C4D7D"/>
        </w:tc>
        <w:tc>
          <w:tcPr>
            <w:tcW w:w="1134"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vAlign w:val="center"/>
          </w:tcPr>
          <w:p w14:paraId="7E8293FE" w14:textId="77777777" w:rsidR="005C4D7D" w:rsidRDefault="00166916">
            <w:pPr>
              <w:jc w:val="center"/>
            </w:pPr>
            <w:r>
              <w:t>25%</w:t>
            </w:r>
          </w:p>
        </w:tc>
        <w:tc>
          <w:tcPr>
            <w:tcW w:w="1693"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vAlign w:val="center"/>
          </w:tcPr>
          <w:p w14:paraId="727460FF" w14:textId="77777777" w:rsidR="005C4D7D" w:rsidRDefault="005C4D7D">
            <w:pPr>
              <w:jc w:val="center"/>
            </w:pPr>
          </w:p>
        </w:tc>
      </w:tr>
      <w:tr w:rsidR="005C4D7D" w14:paraId="1471EB63" w14:textId="77777777">
        <w:trPr>
          <w:jc w:val="center"/>
        </w:trPr>
        <w:tc>
          <w:tcPr>
            <w:tcW w:w="4103"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tcPr>
          <w:p w14:paraId="7B003668" w14:textId="77777777" w:rsidR="002C257B" w:rsidRDefault="002C257B" w:rsidP="002C257B">
            <w:pPr>
              <w:jc w:val="both"/>
            </w:pPr>
            <w:r>
              <w:t>Наявність специфічного досвіду та експертиза, що дотичні до завдання:</w:t>
            </w:r>
          </w:p>
          <w:p w14:paraId="52342DFD" w14:textId="77777777" w:rsidR="002C257B" w:rsidRDefault="002C257B" w:rsidP="002C257B">
            <w:pPr>
              <w:pStyle w:val="ListParagraph"/>
              <w:numPr>
                <w:ilvl w:val="0"/>
                <w:numId w:val="12"/>
              </w:numPr>
              <w:jc w:val="both"/>
            </w:pPr>
            <w:r>
              <w:t>історія організації, загальна репутація, компетенція та надійність</w:t>
            </w:r>
          </w:p>
          <w:p w14:paraId="36D526A4" w14:textId="77777777" w:rsidR="002C257B" w:rsidRDefault="002C257B" w:rsidP="002C257B">
            <w:pPr>
              <w:pStyle w:val="ListParagraph"/>
              <w:numPr>
                <w:ilvl w:val="0"/>
                <w:numId w:val="12"/>
              </w:numPr>
              <w:jc w:val="both"/>
            </w:pPr>
            <w:r>
              <w:t>попередні клієнти</w:t>
            </w:r>
          </w:p>
          <w:p w14:paraId="2A38325A" w14:textId="77777777" w:rsidR="005C4D7D" w:rsidRPr="002C257B" w:rsidRDefault="002C257B" w:rsidP="002C257B">
            <w:pPr>
              <w:pStyle w:val="ListParagraph"/>
              <w:numPr>
                <w:ilvl w:val="0"/>
                <w:numId w:val="12"/>
              </w:numPr>
              <w:jc w:val="both"/>
            </w:pPr>
            <w:r>
              <w:t>зразки попередніх реалізованих кампаній, зокрема, соціальних</w:t>
            </w:r>
          </w:p>
        </w:tc>
        <w:tc>
          <w:tcPr>
            <w:tcW w:w="1559"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vAlign w:val="center"/>
          </w:tcPr>
          <w:p w14:paraId="48F07931" w14:textId="77777777" w:rsidR="005C4D7D" w:rsidRDefault="00166916">
            <w:pPr>
              <w:jc w:val="center"/>
            </w:pPr>
            <w:r>
              <w:t>100</w:t>
            </w:r>
          </w:p>
        </w:tc>
        <w:tc>
          <w:tcPr>
            <w:tcW w:w="1134"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vAlign w:val="center"/>
          </w:tcPr>
          <w:p w14:paraId="4C66261D" w14:textId="77777777" w:rsidR="005C4D7D" w:rsidRDefault="005C4D7D"/>
        </w:tc>
        <w:tc>
          <w:tcPr>
            <w:tcW w:w="1134"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vAlign w:val="center"/>
          </w:tcPr>
          <w:p w14:paraId="05D11429" w14:textId="77777777" w:rsidR="005C4D7D" w:rsidRDefault="00166916">
            <w:pPr>
              <w:jc w:val="center"/>
            </w:pPr>
            <w:r>
              <w:t>25%</w:t>
            </w:r>
          </w:p>
        </w:tc>
        <w:tc>
          <w:tcPr>
            <w:tcW w:w="1693"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vAlign w:val="center"/>
          </w:tcPr>
          <w:p w14:paraId="40FF1268" w14:textId="77777777" w:rsidR="005C4D7D" w:rsidRDefault="005C4D7D">
            <w:pPr>
              <w:jc w:val="center"/>
            </w:pPr>
          </w:p>
        </w:tc>
      </w:tr>
      <w:tr w:rsidR="005C4D7D" w14:paraId="53464BA1" w14:textId="77777777">
        <w:trPr>
          <w:jc w:val="center"/>
        </w:trPr>
        <w:tc>
          <w:tcPr>
            <w:tcW w:w="4103"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tcPr>
          <w:p w14:paraId="715FF301" w14:textId="11807E56" w:rsidR="005C4D7D" w:rsidRDefault="00166916">
            <w:r>
              <w:t>Якість підготовки матеріалів</w:t>
            </w:r>
            <w:r w:rsidR="003F1B69">
              <w:t xml:space="preserve"> </w:t>
            </w:r>
            <w:r>
              <w:t xml:space="preserve">поданої на конкурс пропозиції (клікабельність і доступ до посилань, відсутність орфографічних помилок і тд) </w:t>
            </w:r>
          </w:p>
        </w:tc>
        <w:tc>
          <w:tcPr>
            <w:tcW w:w="1559"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vAlign w:val="center"/>
          </w:tcPr>
          <w:p w14:paraId="08FA567E" w14:textId="77777777" w:rsidR="005C4D7D" w:rsidRDefault="00166916">
            <w:pPr>
              <w:jc w:val="center"/>
            </w:pPr>
            <w:r>
              <w:t>100</w:t>
            </w:r>
          </w:p>
        </w:tc>
        <w:tc>
          <w:tcPr>
            <w:tcW w:w="1134"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vAlign w:val="center"/>
          </w:tcPr>
          <w:p w14:paraId="06D4CD42" w14:textId="77777777" w:rsidR="005C4D7D" w:rsidRDefault="005C4D7D"/>
        </w:tc>
        <w:tc>
          <w:tcPr>
            <w:tcW w:w="1134"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vAlign w:val="center"/>
          </w:tcPr>
          <w:p w14:paraId="2CD31A45" w14:textId="77777777" w:rsidR="005C4D7D" w:rsidRDefault="00166916">
            <w:pPr>
              <w:jc w:val="center"/>
            </w:pPr>
            <w:r>
              <w:t>5%</w:t>
            </w:r>
          </w:p>
        </w:tc>
        <w:tc>
          <w:tcPr>
            <w:tcW w:w="1693"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vAlign w:val="center"/>
          </w:tcPr>
          <w:p w14:paraId="39A392DF" w14:textId="77777777" w:rsidR="005C4D7D" w:rsidRDefault="005C4D7D">
            <w:pPr>
              <w:jc w:val="center"/>
            </w:pPr>
          </w:p>
        </w:tc>
      </w:tr>
      <w:tr w:rsidR="005C4D7D" w14:paraId="708794E5" w14:textId="77777777">
        <w:trPr>
          <w:jc w:val="center"/>
        </w:trPr>
        <w:tc>
          <w:tcPr>
            <w:tcW w:w="4103"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tcPr>
          <w:p w14:paraId="4AD0386E" w14:textId="5FBA3852" w:rsidR="005C4D7D" w:rsidRDefault="003F1B69">
            <w:r>
              <w:t xml:space="preserve">Підтверджений досвід роботи </w:t>
            </w:r>
            <w:r w:rsidR="00166916">
              <w:t>з міжнародними організаціями</w:t>
            </w:r>
          </w:p>
        </w:tc>
        <w:tc>
          <w:tcPr>
            <w:tcW w:w="1559"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vAlign w:val="center"/>
          </w:tcPr>
          <w:p w14:paraId="31119EBE" w14:textId="77777777" w:rsidR="005C4D7D" w:rsidRDefault="00166916">
            <w:pPr>
              <w:jc w:val="center"/>
            </w:pPr>
            <w:r>
              <w:t>100</w:t>
            </w:r>
          </w:p>
        </w:tc>
        <w:tc>
          <w:tcPr>
            <w:tcW w:w="1134"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vAlign w:val="center"/>
          </w:tcPr>
          <w:p w14:paraId="0C039D24" w14:textId="77777777" w:rsidR="005C4D7D" w:rsidRDefault="005C4D7D"/>
        </w:tc>
        <w:tc>
          <w:tcPr>
            <w:tcW w:w="1134"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vAlign w:val="center"/>
          </w:tcPr>
          <w:p w14:paraId="01B037D0" w14:textId="77777777" w:rsidR="005C4D7D" w:rsidRDefault="00166916">
            <w:pPr>
              <w:jc w:val="center"/>
            </w:pPr>
            <w:r>
              <w:t>5%</w:t>
            </w:r>
          </w:p>
        </w:tc>
        <w:tc>
          <w:tcPr>
            <w:tcW w:w="1693"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vAlign w:val="center"/>
          </w:tcPr>
          <w:p w14:paraId="6059CFD9" w14:textId="77777777" w:rsidR="005C4D7D" w:rsidRDefault="005C4D7D">
            <w:pPr>
              <w:jc w:val="center"/>
            </w:pPr>
          </w:p>
        </w:tc>
      </w:tr>
      <w:tr w:rsidR="005C4D7D" w14:paraId="0CE684F7" w14:textId="77777777">
        <w:trPr>
          <w:jc w:val="center"/>
        </w:trPr>
        <w:tc>
          <w:tcPr>
            <w:tcW w:w="4103" w:type="dxa"/>
            <w:tcBorders>
              <w:top w:val="single" w:sz="6" w:space="0" w:color="000080"/>
              <w:left w:val="single" w:sz="6" w:space="0" w:color="000080"/>
              <w:bottom w:val="single" w:sz="6" w:space="0" w:color="000080"/>
              <w:right w:val="single" w:sz="6" w:space="0" w:color="000080"/>
            </w:tcBorders>
            <w:shd w:val="clear" w:color="auto" w:fill="C0C0C0"/>
            <w:tcMar>
              <w:left w:w="108" w:type="dxa"/>
              <w:right w:w="108" w:type="dxa"/>
            </w:tcMar>
            <w:vAlign w:val="center"/>
          </w:tcPr>
          <w:p w14:paraId="1C67F69A" w14:textId="77777777" w:rsidR="005C4D7D" w:rsidRDefault="00166916">
            <w:pPr>
              <w:jc w:val="right"/>
            </w:pPr>
            <w:r>
              <w:rPr>
                <w:b/>
                <w:i/>
              </w:rPr>
              <w:t>Загальна сума</w:t>
            </w:r>
          </w:p>
        </w:tc>
        <w:tc>
          <w:tcPr>
            <w:tcW w:w="1559" w:type="dxa"/>
            <w:tcBorders>
              <w:top w:val="single" w:sz="6" w:space="0" w:color="000080"/>
              <w:left w:val="single" w:sz="6" w:space="0" w:color="000080"/>
              <w:bottom w:val="single" w:sz="6" w:space="0" w:color="000080"/>
              <w:right w:val="single" w:sz="6" w:space="0" w:color="000080"/>
            </w:tcBorders>
            <w:shd w:val="clear" w:color="auto" w:fill="C0C0C0"/>
            <w:tcMar>
              <w:left w:w="108" w:type="dxa"/>
              <w:right w:w="108" w:type="dxa"/>
            </w:tcMar>
            <w:vAlign w:val="center"/>
          </w:tcPr>
          <w:p w14:paraId="5B6C2A84" w14:textId="77777777" w:rsidR="005C4D7D" w:rsidRDefault="00166916">
            <w:pPr>
              <w:jc w:val="center"/>
            </w:pPr>
            <w:r>
              <w:rPr>
                <w:b/>
              </w:rPr>
              <w:t>500</w:t>
            </w:r>
          </w:p>
        </w:tc>
        <w:tc>
          <w:tcPr>
            <w:tcW w:w="1134" w:type="dxa"/>
            <w:tcBorders>
              <w:top w:val="single" w:sz="6" w:space="0" w:color="000080"/>
              <w:left w:val="single" w:sz="6" w:space="0" w:color="000080"/>
              <w:bottom w:val="single" w:sz="6" w:space="0" w:color="000080"/>
              <w:right w:val="single" w:sz="6" w:space="0" w:color="000080"/>
            </w:tcBorders>
            <w:shd w:val="clear" w:color="auto" w:fill="C0C0C0"/>
            <w:tcMar>
              <w:left w:w="108" w:type="dxa"/>
              <w:right w:w="108" w:type="dxa"/>
            </w:tcMar>
            <w:vAlign w:val="center"/>
          </w:tcPr>
          <w:p w14:paraId="5FA7E91C" w14:textId="77777777" w:rsidR="005C4D7D" w:rsidRDefault="005C4D7D"/>
        </w:tc>
        <w:tc>
          <w:tcPr>
            <w:tcW w:w="1134" w:type="dxa"/>
            <w:tcBorders>
              <w:top w:val="single" w:sz="6" w:space="0" w:color="000080"/>
              <w:left w:val="single" w:sz="6" w:space="0" w:color="000080"/>
              <w:bottom w:val="single" w:sz="6" w:space="0" w:color="000080"/>
              <w:right w:val="single" w:sz="6" w:space="0" w:color="000080"/>
            </w:tcBorders>
            <w:shd w:val="clear" w:color="auto" w:fill="C0C0C0"/>
            <w:tcMar>
              <w:left w:w="108" w:type="dxa"/>
              <w:right w:w="108" w:type="dxa"/>
            </w:tcMar>
            <w:vAlign w:val="center"/>
          </w:tcPr>
          <w:p w14:paraId="47A6CB3C" w14:textId="77777777" w:rsidR="005C4D7D" w:rsidRDefault="00166916">
            <w:pPr>
              <w:jc w:val="center"/>
            </w:pPr>
            <w:r>
              <w:rPr>
                <w:b/>
              </w:rPr>
              <w:t>100%</w:t>
            </w:r>
          </w:p>
        </w:tc>
        <w:tc>
          <w:tcPr>
            <w:tcW w:w="1693" w:type="dxa"/>
            <w:tcBorders>
              <w:top w:val="single" w:sz="6" w:space="0" w:color="000080"/>
              <w:left w:val="single" w:sz="6" w:space="0" w:color="000080"/>
              <w:bottom w:val="single" w:sz="6" w:space="0" w:color="000080"/>
              <w:right w:val="single" w:sz="6" w:space="0" w:color="000080"/>
            </w:tcBorders>
            <w:shd w:val="clear" w:color="auto" w:fill="C0C0C0"/>
            <w:tcMar>
              <w:left w:w="108" w:type="dxa"/>
              <w:right w:w="108" w:type="dxa"/>
            </w:tcMar>
            <w:vAlign w:val="center"/>
          </w:tcPr>
          <w:p w14:paraId="64CFA47F" w14:textId="77777777" w:rsidR="005C4D7D" w:rsidRDefault="005C4D7D">
            <w:pPr>
              <w:jc w:val="center"/>
            </w:pPr>
          </w:p>
        </w:tc>
      </w:tr>
    </w:tbl>
    <w:p w14:paraId="0287AFA2" w14:textId="77777777" w:rsidR="005C4D7D" w:rsidRDefault="005C4D7D">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pPr>
    </w:p>
    <w:p w14:paraId="6FF79B1C" w14:textId="77777777" w:rsidR="00315FC5" w:rsidRDefault="00315FC5" w:rsidP="00315FC5">
      <w:r>
        <w:t>Наступна шкала оцінювання буде використана для забезпечення об'єктивної оцінки:</w:t>
      </w:r>
    </w:p>
    <w:tbl>
      <w:tblPr>
        <w:tblW w:w="85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05"/>
        <w:gridCol w:w="2045"/>
      </w:tblGrid>
      <w:tr w:rsidR="00315FC5" w14:paraId="1CC58D6C" w14:textId="77777777" w:rsidTr="00A66280">
        <w:trPr>
          <w:trHeight w:val="600"/>
          <w:jc w:val="center"/>
        </w:trPr>
        <w:tc>
          <w:tcPr>
            <w:tcW w:w="6505" w:type="dxa"/>
            <w:tcBorders>
              <w:top w:val="single" w:sz="4" w:space="0" w:color="000000"/>
              <w:left w:val="single" w:sz="4" w:space="0" w:color="000000"/>
              <w:bottom w:val="single" w:sz="4" w:space="0" w:color="000000"/>
              <w:right w:val="single" w:sz="4" w:space="0" w:color="000000"/>
            </w:tcBorders>
            <w:shd w:val="clear" w:color="auto" w:fill="000080"/>
            <w:tcMar>
              <w:top w:w="0" w:type="dxa"/>
              <w:left w:w="108" w:type="dxa"/>
              <w:bottom w:w="0" w:type="dxa"/>
              <w:right w:w="108" w:type="dxa"/>
            </w:tcMar>
            <w:vAlign w:val="center"/>
          </w:tcPr>
          <w:p w14:paraId="09066880" w14:textId="77777777" w:rsidR="00315FC5" w:rsidRDefault="00315FC5" w:rsidP="00A66280">
            <w:r>
              <w:t xml:space="preserve">Рівень, який відповідає вимогам Технічного завдання, що базується на фактичних даних, включених в пропозицію </w:t>
            </w:r>
          </w:p>
        </w:tc>
        <w:tc>
          <w:tcPr>
            <w:tcW w:w="2045" w:type="dxa"/>
            <w:tcBorders>
              <w:top w:val="single" w:sz="4" w:space="0" w:color="000000"/>
              <w:left w:val="single" w:sz="4" w:space="0" w:color="000000"/>
              <w:bottom w:val="single" w:sz="4" w:space="0" w:color="000000"/>
              <w:right w:val="single" w:sz="4" w:space="0" w:color="000000"/>
            </w:tcBorders>
            <w:shd w:val="clear" w:color="auto" w:fill="000080"/>
            <w:tcMar>
              <w:top w:w="0" w:type="dxa"/>
              <w:left w:w="108" w:type="dxa"/>
              <w:bottom w:w="0" w:type="dxa"/>
              <w:right w:w="108" w:type="dxa"/>
            </w:tcMar>
            <w:vAlign w:val="center"/>
          </w:tcPr>
          <w:p w14:paraId="55E3BC8F" w14:textId="77777777" w:rsidR="00315FC5" w:rsidRDefault="00315FC5" w:rsidP="00A66280">
            <w:pPr>
              <w:jc w:val="center"/>
            </w:pPr>
            <w:r>
              <w:t>Бали зі 100</w:t>
            </w:r>
          </w:p>
        </w:tc>
      </w:tr>
      <w:tr w:rsidR="00315FC5" w14:paraId="70A64D4F" w14:textId="77777777" w:rsidTr="00A66280">
        <w:trPr>
          <w:trHeight w:val="440"/>
          <w:jc w:val="center"/>
        </w:trPr>
        <w:tc>
          <w:tcPr>
            <w:tcW w:w="6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1CF290C" w14:textId="77777777" w:rsidR="00315FC5" w:rsidRDefault="00315FC5" w:rsidP="00A66280">
            <w:r>
              <w:t>Значно перевищує вимоги</w:t>
            </w:r>
          </w:p>
        </w:tc>
        <w:tc>
          <w:tcPr>
            <w:tcW w:w="20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3668FC4" w14:textId="77777777" w:rsidR="00315FC5" w:rsidRDefault="00315FC5" w:rsidP="00A66280">
            <w:pPr>
              <w:jc w:val="center"/>
            </w:pPr>
            <w:r>
              <w:t>90 – 100</w:t>
            </w:r>
          </w:p>
        </w:tc>
      </w:tr>
      <w:tr w:rsidR="00315FC5" w14:paraId="65468995" w14:textId="77777777" w:rsidTr="00A66280">
        <w:trPr>
          <w:trHeight w:val="300"/>
          <w:jc w:val="center"/>
        </w:trPr>
        <w:tc>
          <w:tcPr>
            <w:tcW w:w="6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6F0BA40" w14:textId="77777777" w:rsidR="00315FC5" w:rsidRDefault="00315FC5" w:rsidP="00A66280">
            <w:r>
              <w:t>Перевищує вимоги</w:t>
            </w:r>
          </w:p>
        </w:tc>
        <w:tc>
          <w:tcPr>
            <w:tcW w:w="20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C25E81D" w14:textId="77777777" w:rsidR="00315FC5" w:rsidRDefault="00315FC5" w:rsidP="00A66280">
            <w:pPr>
              <w:jc w:val="center"/>
            </w:pPr>
            <w:r>
              <w:t xml:space="preserve">80 – 89 </w:t>
            </w:r>
          </w:p>
        </w:tc>
      </w:tr>
      <w:tr w:rsidR="00315FC5" w14:paraId="5ACC38A3" w14:textId="77777777" w:rsidTr="00A66280">
        <w:trPr>
          <w:trHeight w:val="420"/>
          <w:jc w:val="center"/>
        </w:trPr>
        <w:tc>
          <w:tcPr>
            <w:tcW w:w="6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E190C4B" w14:textId="77777777" w:rsidR="00315FC5" w:rsidRDefault="00315FC5" w:rsidP="00A66280">
            <w:r>
              <w:t>Відповідає вимогам</w:t>
            </w:r>
          </w:p>
        </w:tc>
        <w:tc>
          <w:tcPr>
            <w:tcW w:w="20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1F97A0F" w14:textId="77777777" w:rsidR="00315FC5" w:rsidRDefault="00315FC5" w:rsidP="00A66280">
            <w:pPr>
              <w:jc w:val="center"/>
            </w:pPr>
            <w:r>
              <w:t>70 – 79</w:t>
            </w:r>
          </w:p>
        </w:tc>
      </w:tr>
      <w:tr w:rsidR="00315FC5" w14:paraId="03E9D347" w14:textId="77777777" w:rsidTr="00A66280">
        <w:trPr>
          <w:trHeight w:val="400"/>
          <w:jc w:val="center"/>
        </w:trPr>
        <w:tc>
          <w:tcPr>
            <w:tcW w:w="6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7A59EFB" w14:textId="77777777" w:rsidR="00315FC5" w:rsidRDefault="00315FC5" w:rsidP="00A66280">
            <w:r>
              <w:t>Не відповідає вимогам</w:t>
            </w:r>
          </w:p>
        </w:tc>
        <w:tc>
          <w:tcPr>
            <w:tcW w:w="20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7D0E4E4" w14:textId="77777777" w:rsidR="00315FC5" w:rsidRDefault="00315FC5" w:rsidP="00A66280">
            <w:pPr>
              <w:jc w:val="center"/>
            </w:pPr>
            <w:r>
              <w:t>до 70</w:t>
            </w:r>
          </w:p>
        </w:tc>
      </w:tr>
    </w:tbl>
    <w:p w14:paraId="3C5AF31B" w14:textId="77777777" w:rsidR="00315FC5" w:rsidRDefault="00315FC5" w:rsidP="00315FC5">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b/>
          <w:color w:val="000000"/>
        </w:rPr>
      </w:pPr>
    </w:p>
    <w:p w14:paraId="082D2203" w14:textId="77777777" w:rsidR="00315FC5" w:rsidRDefault="00315FC5" w:rsidP="00315FC5">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b/>
          <w:color w:val="000000"/>
        </w:rPr>
      </w:pPr>
      <w:r>
        <w:rPr>
          <w:b/>
          <w:color w:val="000000"/>
        </w:rPr>
        <w:t>Фінансова оцінка (максимально 100 балів)</w:t>
      </w:r>
    </w:p>
    <w:p w14:paraId="467E8057" w14:textId="77777777" w:rsidR="00315FC5" w:rsidRDefault="00315FC5" w:rsidP="00315FC5">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rPr>
      </w:pPr>
      <w:r>
        <w:rPr>
          <w:color w:val="000000"/>
        </w:rPr>
        <w:t xml:space="preserve">Цінові пропозиції будуть оцінені тільки від тих постачальників, чиї технічні пропозиції набрали мінімальну кількість балів – 70 після технічної оцінки. </w:t>
      </w:r>
    </w:p>
    <w:p w14:paraId="7E0E6CBB" w14:textId="77777777" w:rsidR="00315FC5" w:rsidRDefault="00315FC5" w:rsidP="00315FC5">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rPr>
      </w:pPr>
    </w:p>
    <w:p w14:paraId="0A6E4E0E" w14:textId="77777777" w:rsidR="00315FC5" w:rsidRDefault="00315FC5" w:rsidP="00315FC5">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rPr>
      </w:pPr>
      <w:r>
        <w:rPr>
          <w:color w:val="000000"/>
        </w:rPr>
        <w:t>Цінові пропозиції будуть оцінені на основі відповідності до вимог форми цінової пропозиції. Максимальна кількість балів для цінової пропозиції – 100, будуть передані найменшій сумарній ціні на основі спеціальної формули наданої у Технічному завданні. Усі інші цінові пропозиції отримають бали у зворотній пропорції згідно такої формули:</w:t>
      </w:r>
    </w:p>
    <w:p w14:paraId="44B515F9" w14:textId="77777777" w:rsidR="00315FC5" w:rsidRDefault="00315FC5" w:rsidP="00315FC5">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rPr>
          <w:color w:val="000000"/>
        </w:rPr>
      </w:pPr>
    </w:p>
    <w:tbl>
      <w:tblPr>
        <w:tblW w:w="8217" w:type="dxa"/>
        <w:jc w:val="center"/>
        <w:tblBorders>
          <w:top w:val="single" w:sz="4" w:space="0" w:color="000000"/>
          <w:left w:val="single" w:sz="4" w:space="0" w:color="000000"/>
          <w:bottom w:val="single" w:sz="4" w:space="0" w:color="000000"/>
          <w:right w:val="single" w:sz="4" w:space="0" w:color="000000"/>
          <w:insideH w:val="single" w:sz="4" w:space="0" w:color="000000"/>
        </w:tblBorders>
        <w:tblLayout w:type="fixed"/>
        <w:tblLook w:val="0400" w:firstRow="0" w:lastRow="0" w:firstColumn="0" w:lastColumn="0" w:noHBand="0" w:noVBand="1"/>
      </w:tblPr>
      <w:tblGrid>
        <w:gridCol w:w="2124"/>
        <w:gridCol w:w="2325"/>
        <w:gridCol w:w="3768"/>
      </w:tblGrid>
      <w:tr w:rsidR="00315FC5" w14:paraId="59930023" w14:textId="77777777" w:rsidTr="00A66280">
        <w:trPr>
          <w:trHeight w:val="300"/>
          <w:jc w:val="center"/>
        </w:trPr>
        <w:tc>
          <w:tcPr>
            <w:tcW w:w="2124" w:type="dxa"/>
            <w:vMerge w:val="restart"/>
            <w:vAlign w:val="center"/>
          </w:tcPr>
          <w:p w14:paraId="7218D5B5" w14:textId="77777777" w:rsidR="00315FC5" w:rsidRDefault="00315FC5" w:rsidP="00A66280">
            <w:pPr>
              <w:tabs>
                <w:tab w:val="left" w:pos="-1080"/>
              </w:tabs>
              <w:jc w:val="both"/>
            </w:pPr>
            <w:r>
              <w:t>Фінансова оцінка =</w:t>
            </w:r>
          </w:p>
        </w:tc>
        <w:tc>
          <w:tcPr>
            <w:tcW w:w="2325" w:type="dxa"/>
          </w:tcPr>
          <w:p w14:paraId="3DCB824E" w14:textId="77777777" w:rsidR="00315FC5" w:rsidRDefault="00315FC5" w:rsidP="00A66280">
            <w:pPr>
              <w:tabs>
                <w:tab w:val="left" w:pos="-1080"/>
              </w:tabs>
              <w:jc w:val="center"/>
            </w:pPr>
            <w:r>
              <w:t>Найнижча подана ціна ($)</w:t>
            </w:r>
          </w:p>
        </w:tc>
        <w:tc>
          <w:tcPr>
            <w:tcW w:w="3768" w:type="dxa"/>
            <w:vMerge w:val="restart"/>
            <w:vAlign w:val="center"/>
          </w:tcPr>
          <w:p w14:paraId="4352C66C" w14:textId="77777777" w:rsidR="00315FC5" w:rsidRDefault="00315FC5" w:rsidP="00A66280">
            <w:pPr>
              <w:tabs>
                <w:tab w:val="left" w:pos="-1080"/>
              </w:tabs>
              <w:jc w:val="both"/>
            </w:pPr>
            <w:r>
              <w:t>X 100 (Максимальна кількість балів)</w:t>
            </w:r>
          </w:p>
        </w:tc>
      </w:tr>
      <w:tr w:rsidR="00315FC5" w14:paraId="38A4359A" w14:textId="77777777" w:rsidTr="00A66280">
        <w:trPr>
          <w:trHeight w:val="610"/>
          <w:jc w:val="center"/>
        </w:trPr>
        <w:tc>
          <w:tcPr>
            <w:tcW w:w="2124" w:type="dxa"/>
            <w:vMerge/>
            <w:vAlign w:val="center"/>
          </w:tcPr>
          <w:p w14:paraId="777935EC" w14:textId="77777777" w:rsidR="00315FC5" w:rsidRDefault="00315FC5" w:rsidP="00A66280">
            <w:pPr>
              <w:widowControl w:val="0"/>
              <w:pBdr>
                <w:top w:val="nil"/>
                <w:left w:val="nil"/>
                <w:bottom w:val="nil"/>
                <w:right w:val="nil"/>
                <w:between w:val="nil"/>
              </w:pBdr>
              <w:spacing w:after="0" w:line="276" w:lineRule="auto"/>
            </w:pPr>
          </w:p>
        </w:tc>
        <w:tc>
          <w:tcPr>
            <w:tcW w:w="2325" w:type="dxa"/>
          </w:tcPr>
          <w:p w14:paraId="00169E91" w14:textId="77777777" w:rsidR="00315FC5" w:rsidRDefault="00315FC5" w:rsidP="00A66280">
            <w:pPr>
              <w:tabs>
                <w:tab w:val="left" w:pos="-1080"/>
              </w:tabs>
              <w:jc w:val="center"/>
            </w:pPr>
            <w:r>
              <w:t>Цінова пропозиція, яка оцінюється ($)</w:t>
            </w:r>
          </w:p>
        </w:tc>
        <w:tc>
          <w:tcPr>
            <w:tcW w:w="3768" w:type="dxa"/>
            <w:vMerge/>
            <w:vAlign w:val="center"/>
          </w:tcPr>
          <w:p w14:paraId="7ECDCFA7" w14:textId="77777777" w:rsidR="00315FC5" w:rsidRDefault="00315FC5" w:rsidP="00A66280">
            <w:pPr>
              <w:widowControl w:val="0"/>
              <w:pBdr>
                <w:top w:val="nil"/>
                <w:left w:val="nil"/>
                <w:bottom w:val="nil"/>
                <w:right w:val="nil"/>
                <w:between w:val="nil"/>
              </w:pBdr>
              <w:spacing w:after="0" w:line="276" w:lineRule="auto"/>
            </w:pPr>
          </w:p>
        </w:tc>
      </w:tr>
    </w:tbl>
    <w:p w14:paraId="0EA926D8" w14:textId="77777777" w:rsidR="00315FC5" w:rsidRDefault="00315FC5" w:rsidP="00315FC5">
      <w:pPr>
        <w:pStyle w:val="Heading2"/>
        <w:keepLines/>
        <w:spacing w:before="200"/>
        <w:jc w:val="left"/>
        <w:rPr>
          <w:rFonts w:ascii="Calibri" w:eastAsia="Calibri" w:hAnsi="Calibri" w:cs="Calibri"/>
        </w:rPr>
      </w:pPr>
      <w:r>
        <w:rPr>
          <w:rFonts w:ascii="Calibri" w:eastAsia="Calibri" w:hAnsi="Calibri" w:cs="Calibri"/>
        </w:rPr>
        <w:lastRenderedPageBreak/>
        <w:t>Загальний бал</w:t>
      </w:r>
    </w:p>
    <w:p w14:paraId="0A43F467" w14:textId="77777777" w:rsidR="00315FC5" w:rsidRDefault="00315FC5" w:rsidP="00315FC5">
      <w:pPr>
        <w:pBdr>
          <w:top w:val="nil"/>
          <w:left w:val="nil"/>
          <w:bottom w:val="nil"/>
          <w:right w:val="nil"/>
          <w:between w:val="nil"/>
        </w:pBdr>
        <w:tabs>
          <w:tab w:val="left" w:pos="851"/>
        </w:tabs>
        <w:spacing w:after="0" w:line="276" w:lineRule="auto"/>
        <w:ind w:hanging="720"/>
        <w:jc w:val="both"/>
        <w:rPr>
          <w:color w:val="000000"/>
        </w:rPr>
      </w:pPr>
      <w:r>
        <w:rPr>
          <w:color w:val="000000"/>
        </w:rPr>
        <w:tab/>
        <w:t>Сумарна оцінка для кожної пропозиції буде середньозваженою сумою оцінки за технічну та фінансову пропозиції. Максимальна сума балів – 100 балів.</w:t>
      </w:r>
    </w:p>
    <w:tbl>
      <w:tblPr>
        <w:tblW w:w="65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23"/>
      </w:tblGrid>
      <w:tr w:rsidR="00315FC5" w14:paraId="6A19F808" w14:textId="77777777" w:rsidTr="00A66280">
        <w:trPr>
          <w:trHeight w:val="540"/>
          <w:jc w:val="center"/>
        </w:trPr>
        <w:tc>
          <w:tcPr>
            <w:tcW w:w="6523" w:type="dxa"/>
            <w:vAlign w:val="center"/>
          </w:tcPr>
          <w:p w14:paraId="6C03D547" w14:textId="77777777" w:rsidR="00315FC5" w:rsidRDefault="00315FC5" w:rsidP="00A66280">
            <w:pPr>
              <w:tabs>
                <w:tab w:val="left" w:pos="-1080"/>
              </w:tabs>
              <w:jc w:val="center"/>
            </w:pPr>
            <w:r>
              <w:t>Загальний бал =70% Технічної оцінки + 30% Фінансової оцінки</w:t>
            </w:r>
          </w:p>
        </w:tc>
      </w:tr>
    </w:tbl>
    <w:p w14:paraId="014D32D6" w14:textId="77777777" w:rsidR="00315FC5" w:rsidRDefault="00315FC5" w:rsidP="00315FC5">
      <w:pPr>
        <w:spacing w:after="0" w:line="240" w:lineRule="auto"/>
        <w:jc w:val="both"/>
        <w:rPr>
          <w:b/>
        </w:rPr>
      </w:pPr>
    </w:p>
    <w:p w14:paraId="09A3ECC0" w14:textId="77777777" w:rsidR="00315FC5" w:rsidRDefault="00315FC5" w:rsidP="00315FC5">
      <w:pPr>
        <w:spacing w:before="80" w:after="80" w:line="240" w:lineRule="auto"/>
        <w:jc w:val="both"/>
        <w:rPr>
          <w:b/>
        </w:rPr>
      </w:pPr>
      <w:r>
        <w:rPr>
          <w:b/>
        </w:rPr>
        <w:t xml:space="preserve">VI. Визначення переможця </w:t>
      </w:r>
    </w:p>
    <w:p w14:paraId="70BE2D48" w14:textId="58E106F6" w:rsidR="00315FC5" w:rsidRDefault="00315FC5" w:rsidP="00315FC5">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before="80" w:after="80" w:line="240" w:lineRule="auto"/>
        <w:jc w:val="both"/>
        <w:rPr>
          <w:color w:val="000000"/>
        </w:rPr>
      </w:pPr>
      <w:r>
        <w:rPr>
          <w:color w:val="000000"/>
        </w:rPr>
        <w:t xml:space="preserve">Договір на термін до </w:t>
      </w:r>
      <w:r w:rsidR="007F1505">
        <w:t>31 березня</w:t>
      </w:r>
      <w:r>
        <w:t xml:space="preserve"> 202</w:t>
      </w:r>
      <w:r w:rsidR="007F1505">
        <w:t>3</w:t>
      </w:r>
      <w:r>
        <w:t xml:space="preserve"> року</w:t>
      </w:r>
      <w:r>
        <w:rPr>
          <w:color w:val="000000"/>
        </w:rPr>
        <w:t xml:space="preserve"> між UNFPA та постачальником буде укладено з тим претендентом, чия пропозиція набере найвищій бал за сумарною оцінкою та буде відповідати вимогам документації конкурсних торгів.</w:t>
      </w:r>
    </w:p>
    <w:p w14:paraId="4ADC1CF4" w14:textId="77777777" w:rsidR="00315FC5" w:rsidRDefault="00315FC5" w:rsidP="00315FC5">
      <w:pPr>
        <w:spacing w:before="80" w:after="80" w:line="240" w:lineRule="auto"/>
        <w:jc w:val="both"/>
        <w:rPr>
          <w:b/>
        </w:rPr>
      </w:pPr>
      <w:r>
        <w:rPr>
          <w:b/>
        </w:rPr>
        <w:t>VII. Право на змінення вимог під час прийняття рішень</w:t>
      </w:r>
    </w:p>
    <w:p w14:paraId="794F8D2F" w14:textId="77777777" w:rsidR="00315FC5" w:rsidRDefault="00315FC5" w:rsidP="00315FC5">
      <w:pPr>
        <w:pBdr>
          <w:top w:val="nil"/>
          <w:left w:val="nil"/>
          <w:bottom w:val="nil"/>
          <w:right w:val="nil"/>
          <w:between w:val="nil"/>
        </w:pBdr>
        <w:tabs>
          <w:tab w:val="left" w:pos="851"/>
        </w:tabs>
        <w:spacing w:before="80" w:after="80" w:line="276" w:lineRule="auto"/>
        <w:ind w:hanging="720"/>
        <w:jc w:val="both"/>
        <w:rPr>
          <w:color w:val="000000"/>
        </w:rPr>
      </w:pPr>
      <w:r>
        <w:rPr>
          <w:color w:val="000000"/>
        </w:rPr>
        <w:tab/>
      </w:r>
      <w:r>
        <w:t>Фонд ООН у галузі народонаселення</w:t>
      </w:r>
      <w:r>
        <w:rPr>
          <w:color w:val="000000"/>
        </w:rPr>
        <w:t xml:space="preserve"> залишає за собою право збільшувати або зменшувати на 20% обсяг замовлення наданого в цьому запиті на подання пропозицій, без зміни ціни за одиницю товару або інших умов.</w:t>
      </w:r>
    </w:p>
    <w:p w14:paraId="7BE84E63" w14:textId="77777777" w:rsidR="00315FC5" w:rsidRDefault="00315FC5" w:rsidP="00315FC5">
      <w:pPr>
        <w:spacing w:before="80" w:after="80" w:line="240" w:lineRule="auto"/>
        <w:jc w:val="both"/>
        <w:rPr>
          <w:b/>
        </w:rPr>
      </w:pPr>
      <w:r>
        <w:rPr>
          <w:b/>
        </w:rPr>
        <w:t>VIII. Умови оплати</w:t>
      </w:r>
    </w:p>
    <w:p w14:paraId="1A143829" w14:textId="77777777" w:rsidR="00315FC5" w:rsidRDefault="00315FC5" w:rsidP="00315FC5">
      <w:pPr>
        <w:tabs>
          <w:tab w:val="left" w:pos="-180"/>
          <w:tab w:val="left" w:pos="-90"/>
        </w:tabs>
        <w:spacing w:before="80" w:after="80"/>
        <w:jc w:val="both"/>
      </w:pPr>
      <w:r>
        <w:t xml:space="preserve">Оплата здійснюється відповідно до отримання Замовником перелічених вище продуктів (результатів роботи), а також на основі наданого повного пакету супровідної платіжної документації. Оплата здійснюється у валюті: українських гривнях. У випадку використання двох валют, курсом обміну вважається операційний курс Організації Об'єднаних Націй в той день, в який Фонд ООН у галузі народонаселення повідомляє про здійснення цих платежів (веб: </w:t>
      </w:r>
      <w:hyperlink r:id="rId8">
        <w:r>
          <w:t>www.treasury.un.org</w:t>
        </w:r>
      </w:hyperlink>
      <w:r>
        <w:t>). Термін оплати складає 30 днів після отримання товаросупровідних документів, рахунків-фактур та іншої документації, що вимагається договором.</w:t>
      </w:r>
    </w:p>
    <w:p w14:paraId="14BB2AAE" w14:textId="77777777" w:rsidR="00315FC5" w:rsidRDefault="00315FC5" w:rsidP="00315FC5">
      <w:pPr>
        <w:spacing w:before="80" w:after="80" w:line="240" w:lineRule="auto"/>
        <w:jc w:val="both"/>
        <w:rPr>
          <w:b/>
        </w:rPr>
      </w:pPr>
      <w:r>
        <w:rPr>
          <w:b/>
        </w:rPr>
        <w:t xml:space="preserve">IX. </w:t>
      </w:r>
      <w:hyperlink r:id="rId9" w:anchor="FraudCorruption">
        <w:r>
          <w:rPr>
            <w:b/>
          </w:rPr>
          <w:t>Шахрайство</w:t>
        </w:r>
      </w:hyperlink>
      <w:r>
        <w:rPr>
          <w:b/>
        </w:rPr>
        <w:t xml:space="preserve"> і корупція</w:t>
      </w:r>
    </w:p>
    <w:p w14:paraId="6B610803" w14:textId="77777777" w:rsidR="00315FC5" w:rsidRDefault="00315FC5" w:rsidP="00315FC5">
      <w:pPr>
        <w:pBdr>
          <w:top w:val="nil"/>
          <w:left w:val="nil"/>
          <w:bottom w:val="nil"/>
          <w:right w:val="nil"/>
          <w:between w:val="nil"/>
        </w:pBdr>
        <w:spacing w:before="80" w:after="80" w:line="276" w:lineRule="auto"/>
        <w:jc w:val="both"/>
        <w:rPr>
          <w:color w:val="000000"/>
        </w:rPr>
      </w:pPr>
      <w:r>
        <w:rPr>
          <w:color w:val="000000"/>
        </w:rPr>
        <w:t xml:space="preserve">Фонд ООН у галузі народонаселення прагне запобігати, виявляти та вживати дій проти всіх випадків шахрайства щодо Фонду ООН у галузі народонаселення та третіх сторін, які беруть участь у діяльності Фонду ООН у галузі народонаселення. З політикою Фонду ООН у галузі народонаселення щодо шахрайства та корупції можна ознайомитися тут: </w:t>
      </w:r>
      <w:hyperlink r:id="rId10" w:anchor="overlay-context=node/10356/draft">
        <w:r>
          <w:rPr>
            <w:color w:val="0563C1"/>
            <w:u w:val="single"/>
          </w:rPr>
          <w:t>FraudPolicy</w:t>
        </w:r>
      </w:hyperlink>
      <w:r>
        <w:rPr>
          <w:color w:val="000000"/>
        </w:rPr>
        <w:t>. Подання пропозицій учасником передбачає, що останній ознайомлений з даними правилами.</w:t>
      </w:r>
    </w:p>
    <w:p w14:paraId="047D3AC7" w14:textId="77777777" w:rsidR="00315FC5" w:rsidRDefault="00315FC5" w:rsidP="00315FC5">
      <w:pPr>
        <w:spacing w:before="80" w:after="80"/>
        <w:jc w:val="both"/>
      </w:pPr>
      <w:r>
        <w:t xml:space="preserve">У разі та за потреби, постачальники, їх дочірні підприємства, агенти, посередники і керівники мають співпрацювати з Управлінням з аудиту та нагляду Фонду ООН у галузі народонаселення, а також з будь-яким іншим уповноваженим з нагляду, який призначений Виконавчим Директором та Радником з етики Фонду ООН у галузі народонаселення. Таке співробітництво включає, але не обмежується, наступне: доступ до всіх працівників, представників, агентів та уповноважених осіб постачальника; надання всіх необхідних документів, у тому числі фінансових. Нездатність повною мірою співпрацювати зі слідством буде вважатися достатньою підставою для Фонду ООН у галузі народонаселення розірвати контракт з постачальником та відсторонити і зняти його зі списку зареєстрованих Фондом постачальників. </w:t>
      </w:r>
    </w:p>
    <w:p w14:paraId="5344961F" w14:textId="77777777" w:rsidR="00315FC5" w:rsidRDefault="00315FC5" w:rsidP="00315FC5">
      <w:pPr>
        <w:spacing w:before="80" w:after="80" w:line="276" w:lineRule="auto"/>
        <w:jc w:val="both"/>
        <w:rPr>
          <w:color w:val="0563C1"/>
          <w:u w:val="single"/>
        </w:rPr>
      </w:pPr>
      <w:r>
        <w:t xml:space="preserve">Конфіденційна гаряча лінія по боротьбі з шахрайством доступна для всіх учасників конкурсних торгів, про підозрілі та шахрайські дії має бути повідомлено через </w:t>
      </w:r>
      <w:hyperlink r:id="rId11">
        <w:r>
          <w:rPr>
            <w:color w:val="0563C1"/>
            <w:u w:val="single"/>
          </w:rPr>
          <w:t>UNFPAInvestigationHotline</w:t>
        </w:r>
      </w:hyperlink>
      <w:r>
        <w:rPr>
          <w:color w:val="0563C1"/>
          <w:u w:val="single"/>
        </w:rPr>
        <w:t>.</w:t>
      </w:r>
    </w:p>
    <w:p w14:paraId="093FF516" w14:textId="77777777" w:rsidR="00315FC5" w:rsidRDefault="00315FC5" w:rsidP="00315FC5">
      <w:pPr>
        <w:spacing w:before="80" w:after="80" w:line="240" w:lineRule="auto"/>
        <w:jc w:val="both"/>
        <w:rPr>
          <w:b/>
        </w:rPr>
      </w:pPr>
    </w:p>
    <w:p w14:paraId="75AA0DF4" w14:textId="77777777" w:rsidR="00315FC5" w:rsidRDefault="00315FC5" w:rsidP="00315FC5">
      <w:pPr>
        <w:spacing w:before="80" w:after="80" w:line="240" w:lineRule="auto"/>
        <w:jc w:val="both"/>
        <w:rPr>
          <w:b/>
        </w:rPr>
      </w:pPr>
      <w:r>
        <w:rPr>
          <w:b/>
        </w:rPr>
        <w:t>X. Політика нульової толерантності</w:t>
      </w:r>
    </w:p>
    <w:p w14:paraId="17E635FD" w14:textId="77777777" w:rsidR="00315FC5" w:rsidRDefault="00315FC5" w:rsidP="00315FC5">
      <w:pPr>
        <w:spacing w:before="80" w:after="80"/>
        <w:jc w:val="both"/>
      </w:pPr>
      <w:r>
        <w:t xml:space="preserve">Фонд ООН у галузі народонаселення прийняв політику нульової толерантності щодо подарунків та знаків вдячності. Таким чином, прохання до постачальників не надсилати дарунки або проявляти інші знаки вдячності співробітникам Фонду ООН у галузі народонаселення. Детальніше з цими правилами можна ознайомитися тут: </w:t>
      </w:r>
      <w:hyperlink r:id="rId12" w:anchor="ZeroTolerance">
        <w:r>
          <w:rPr>
            <w:color w:val="0563C1"/>
            <w:u w:val="single"/>
          </w:rPr>
          <w:t>ZeroTolerancePolicy</w:t>
        </w:r>
      </w:hyperlink>
      <w:r>
        <w:t>.</w:t>
      </w:r>
    </w:p>
    <w:p w14:paraId="75B1F78F" w14:textId="77777777" w:rsidR="00315FC5" w:rsidRDefault="00315FC5" w:rsidP="00315FC5">
      <w:pPr>
        <w:spacing w:before="80" w:after="80" w:line="240" w:lineRule="auto"/>
        <w:jc w:val="both"/>
        <w:rPr>
          <w:b/>
        </w:rPr>
      </w:pPr>
    </w:p>
    <w:p w14:paraId="4773222F" w14:textId="77777777" w:rsidR="00315FC5" w:rsidRDefault="00315FC5" w:rsidP="00315FC5">
      <w:pPr>
        <w:spacing w:before="80" w:after="80" w:line="240" w:lineRule="auto"/>
        <w:jc w:val="both"/>
        <w:rPr>
          <w:b/>
        </w:rPr>
      </w:pPr>
      <w:r>
        <w:rPr>
          <w:b/>
        </w:rPr>
        <w:t>XI. Опротестування процесу подання пропозицій</w:t>
      </w:r>
    </w:p>
    <w:p w14:paraId="26F33B05" w14:textId="77777777" w:rsidR="00315FC5" w:rsidRDefault="00315FC5" w:rsidP="00315FC5">
      <w:pPr>
        <w:tabs>
          <w:tab w:val="left" w:pos="851"/>
        </w:tabs>
        <w:spacing w:before="80" w:after="80" w:line="276" w:lineRule="auto"/>
        <w:jc w:val="both"/>
      </w:pPr>
      <w:r>
        <w:t xml:space="preserve">Претенденти, які вважають, що до них були вчинені несправедливі дії під час процесу подання, оцінки пропозицій або присудження контракту можуть подати скаргу керівнику програми ЮНФПА Олесі Компанієць на електронну пошту: </w:t>
      </w:r>
      <w:hyperlink r:id="rId13">
        <w:r>
          <w:t>kompaniiets@unfpa.org</w:t>
        </w:r>
      </w:hyperlink>
      <w:r>
        <w:t>. У разі незадоволення відповіддю, наданою керівником підрозділу ЮНФПА, претендент може звернутися до Голови Відділу закупівель Фонду ООН у галузі народонаселення</w:t>
      </w:r>
      <w:r>
        <w:rPr>
          <w:color w:val="003366"/>
          <w:u w:val="single"/>
        </w:rPr>
        <w:t xml:space="preserve"> </w:t>
      </w:r>
      <w:hyperlink r:id="rId14">
        <w:r>
          <w:rPr>
            <w:color w:val="003366"/>
            <w:u w:val="single"/>
          </w:rPr>
          <w:t>procurement@unfpa.org</w:t>
        </w:r>
      </w:hyperlink>
      <w:r>
        <w:t>.</w:t>
      </w:r>
    </w:p>
    <w:p w14:paraId="5C2BEF67" w14:textId="77777777" w:rsidR="00315FC5" w:rsidRDefault="00315FC5" w:rsidP="00315FC5">
      <w:pPr>
        <w:tabs>
          <w:tab w:val="left" w:pos="851"/>
        </w:tabs>
        <w:spacing w:before="80" w:after="80" w:line="276" w:lineRule="auto"/>
        <w:jc w:val="both"/>
      </w:pPr>
    </w:p>
    <w:p w14:paraId="1C8C324A" w14:textId="77777777" w:rsidR="00315FC5" w:rsidRDefault="00315FC5" w:rsidP="00315FC5">
      <w:pPr>
        <w:spacing w:before="80" w:after="80" w:line="240" w:lineRule="auto"/>
        <w:jc w:val="both"/>
        <w:rPr>
          <w:b/>
        </w:rPr>
      </w:pPr>
      <w:r>
        <w:rPr>
          <w:b/>
        </w:rPr>
        <w:t>XII. Зауваження</w:t>
      </w:r>
    </w:p>
    <w:p w14:paraId="4971FBA0" w14:textId="77777777" w:rsidR="00315FC5" w:rsidRDefault="00315FC5" w:rsidP="00315FC5">
      <w:pPr>
        <w:spacing w:before="80" w:after="80"/>
        <w:jc w:val="both"/>
      </w:pPr>
      <w:r>
        <w:t xml:space="preserve">У разі неможливості доступу до будь-яких посилань у цьому запиті на подання пропозицій, претенденти можуть звернутися до співробітника Відділу закупівлі для отримання версії в форматі PDF. </w:t>
      </w:r>
    </w:p>
    <w:p w14:paraId="34CF128D" w14:textId="77777777" w:rsidR="00315FC5" w:rsidRDefault="00315FC5" w:rsidP="00315FC5">
      <w:pPr>
        <w:rPr>
          <w:b/>
          <w:smallCaps/>
        </w:rPr>
      </w:pPr>
      <w:r>
        <w:br w:type="page"/>
      </w:r>
    </w:p>
    <w:p w14:paraId="07077482" w14:textId="77777777" w:rsidR="00315FC5" w:rsidRDefault="00315FC5" w:rsidP="00315FC5">
      <w:r>
        <w:rPr>
          <w:b/>
          <w:smallCaps/>
        </w:rPr>
        <w:lastRenderedPageBreak/>
        <w:t>БЛАНК ЦІНОВОЇ ПРОПОЗИЦІЇ</w:t>
      </w:r>
    </w:p>
    <w:tbl>
      <w:tblPr>
        <w:tblW w:w="10773" w:type="dxa"/>
        <w:jc w:val="center"/>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ayout w:type="fixed"/>
        <w:tblLook w:val="0400" w:firstRow="0" w:lastRow="0" w:firstColumn="0" w:lastColumn="0" w:noHBand="0" w:noVBand="1"/>
      </w:tblPr>
      <w:tblGrid>
        <w:gridCol w:w="562"/>
        <w:gridCol w:w="43"/>
        <w:gridCol w:w="3496"/>
        <w:gridCol w:w="1559"/>
        <w:gridCol w:w="1244"/>
        <w:gridCol w:w="184"/>
        <w:gridCol w:w="1015"/>
        <w:gridCol w:w="1307"/>
        <w:gridCol w:w="1363"/>
      </w:tblGrid>
      <w:tr w:rsidR="00315FC5" w:rsidRPr="00B1020A" w14:paraId="55277436" w14:textId="77777777" w:rsidTr="00A66280">
        <w:trPr>
          <w:jc w:val="center"/>
        </w:trPr>
        <w:tc>
          <w:tcPr>
            <w:tcW w:w="562" w:type="dxa"/>
          </w:tcPr>
          <w:p w14:paraId="440D4511" w14:textId="77777777" w:rsidR="00315FC5" w:rsidRPr="00B1020A" w:rsidRDefault="00315FC5" w:rsidP="00A66280">
            <w:pPr>
              <w:spacing w:after="0" w:line="240" w:lineRule="auto"/>
              <w:rPr>
                <w:b/>
              </w:rPr>
            </w:pPr>
          </w:p>
        </w:tc>
        <w:tc>
          <w:tcPr>
            <w:tcW w:w="6526" w:type="dxa"/>
            <w:gridSpan w:val="5"/>
          </w:tcPr>
          <w:p w14:paraId="4C1F6C99" w14:textId="77777777" w:rsidR="00315FC5" w:rsidRPr="00B1020A" w:rsidRDefault="00315FC5" w:rsidP="00A66280">
            <w:pPr>
              <w:spacing w:after="0" w:line="240" w:lineRule="auto"/>
              <w:rPr>
                <w:b/>
              </w:rPr>
            </w:pPr>
            <w:r w:rsidRPr="00B1020A">
              <w:rPr>
                <w:b/>
              </w:rPr>
              <w:t>Найменування претендента:</w:t>
            </w:r>
          </w:p>
        </w:tc>
        <w:tc>
          <w:tcPr>
            <w:tcW w:w="3685" w:type="dxa"/>
            <w:gridSpan w:val="3"/>
            <w:vAlign w:val="center"/>
          </w:tcPr>
          <w:p w14:paraId="6C961819" w14:textId="77777777" w:rsidR="00315FC5" w:rsidRPr="00B1020A" w:rsidRDefault="00315FC5" w:rsidP="00A66280">
            <w:pPr>
              <w:spacing w:after="0" w:line="240" w:lineRule="auto"/>
              <w:jc w:val="center"/>
            </w:pPr>
          </w:p>
        </w:tc>
      </w:tr>
      <w:tr w:rsidR="00315FC5" w:rsidRPr="00B1020A" w14:paraId="63013292" w14:textId="77777777" w:rsidTr="00A66280">
        <w:trPr>
          <w:jc w:val="center"/>
        </w:trPr>
        <w:tc>
          <w:tcPr>
            <w:tcW w:w="562" w:type="dxa"/>
          </w:tcPr>
          <w:p w14:paraId="65A222A4" w14:textId="77777777" w:rsidR="00315FC5" w:rsidRPr="00B1020A" w:rsidRDefault="00315FC5" w:rsidP="00A66280">
            <w:pPr>
              <w:spacing w:after="0" w:line="240" w:lineRule="auto"/>
              <w:rPr>
                <w:b/>
              </w:rPr>
            </w:pPr>
          </w:p>
        </w:tc>
        <w:tc>
          <w:tcPr>
            <w:tcW w:w="6526" w:type="dxa"/>
            <w:gridSpan w:val="5"/>
          </w:tcPr>
          <w:p w14:paraId="1817E46B" w14:textId="77777777" w:rsidR="00315FC5" w:rsidRPr="00B1020A" w:rsidRDefault="00315FC5" w:rsidP="00A66280">
            <w:pPr>
              <w:spacing w:after="0" w:line="240" w:lineRule="auto"/>
              <w:rPr>
                <w:b/>
              </w:rPr>
            </w:pPr>
            <w:r w:rsidRPr="00B1020A">
              <w:rPr>
                <w:b/>
              </w:rPr>
              <w:t>Дата подання:</w:t>
            </w:r>
          </w:p>
        </w:tc>
        <w:tc>
          <w:tcPr>
            <w:tcW w:w="3685" w:type="dxa"/>
            <w:gridSpan w:val="3"/>
            <w:vAlign w:val="center"/>
          </w:tcPr>
          <w:p w14:paraId="67A2937E" w14:textId="77777777" w:rsidR="00315FC5" w:rsidRPr="00B1020A" w:rsidRDefault="00315FC5" w:rsidP="00A66280">
            <w:pPr>
              <w:spacing w:after="0" w:line="240" w:lineRule="auto"/>
              <w:ind w:right="673"/>
              <w:jc w:val="center"/>
            </w:pPr>
            <w:r w:rsidRPr="00B1020A">
              <w:rPr>
                <w:color w:val="808080"/>
              </w:rPr>
              <w:t>Click here to enter a date.</w:t>
            </w:r>
          </w:p>
        </w:tc>
      </w:tr>
      <w:tr w:rsidR="00315FC5" w:rsidRPr="00B1020A" w14:paraId="4721ED78" w14:textId="77777777" w:rsidTr="00A66280">
        <w:trPr>
          <w:jc w:val="center"/>
        </w:trPr>
        <w:tc>
          <w:tcPr>
            <w:tcW w:w="562" w:type="dxa"/>
          </w:tcPr>
          <w:p w14:paraId="3FFDF729" w14:textId="77777777" w:rsidR="00315FC5" w:rsidRPr="00B1020A" w:rsidRDefault="00315FC5" w:rsidP="00A66280">
            <w:pPr>
              <w:spacing w:after="0" w:line="240" w:lineRule="auto"/>
              <w:rPr>
                <w:b/>
              </w:rPr>
            </w:pPr>
          </w:p>
        </w:tc>
        <w:tc>
          <w:tcPr>
            <w:tcW w:w="6526" w:type="dxa"/>
            <w:gridSpan w:val="5"/>
          </w:tcPr>
          <w:p w14:paraId="0CFFBDDC" w14:textId="77777777" w:rsidR="00315FC5" w:rsidRPr="00B1020A" w:rsidRDefault="00315FC5" w:rsidP="00A66280">
            <w:pPr>
              <w:spacing w:after="0" w:line="240" w:lineRule="auto"/>
              <w:rPr>
                <w:b/>
              </w:rPr>
            </w:pPr>
            <w:r w:rsidRPr="00B1020A">
              <w:rPr>
                <w:b/>
              </w:rPr>
              <w:t>Номер запиту:</w:t>
            </w:r>
          </w:p>
        </w:tc>
        <w:tc>
          <w:tcPr>
            <w:tcW w:w="3685" w:type="dxa"/>
            <w:gridSpan w:val="3"/>
            <w:vAlign w:val="center"/>
          </w:tcPr>
          <w:p w14:paraId="4A234BDB" w14:textId="45C261E0" w:rsidR="00315FC5" w:rsidRPr="00B1020A" w:rsidRDefault="00315FC5" w:rsidP="00A66280">
            <w:pPr>
              <w:spacing w:after="0" w:line="240" w:lineRule="auto"/>
              <w:jc w:val="center"/>
              <w:rPr>
                <w:b/>
                <w:lang w:val="en-US"/>
              </w:rPr>
            </w:pPr>
            <w:r w:rsidRPr="00A904B8">
              <w:rPr>
                <w:b/>
                <w:color w:val="000000"/>
              </w:rPr>
              <w:t>UNFPA/UKR/RFQ/22/</w:t>
            </w:r>
            <w:r w:rsidR="007F1505">
              <w:rPr>
                <w:b/>
                <w:color w:val="000000"/>
              </w:rPr>
              <w:t>17</w:t>
            </w:r>
          </w:p>
        </w:tc>
      </w:tr>
      <w:tr w:rsidR="00315FC5" w:rsidRPr="00B1020A" w14:paraId="77DBF3D7" w14:textId="77777777" w:rsidTr="00A66280">
        <w:trPr>
          <w:jc w:val="center"/>
        </w:trPr>
        <w:tc>
          <w:tcPr>
            <w:tcW w:w="562" w:type="dxa"/>
          </w:tcPr>
          <w:p w14:paraId="7B9FF76C" w14:textId="77777777" w:rsidR="00315FC5" w:rsidRPr="00B1020A" w:rsidRDefault="00315FC5" w:rsidP="00A66280">
            <w:pPr>
              <w:spacing w:after="0" w:line="240" w:lineRule="auto"/>
              <w:rPr>
                <w:b/>
              </w:rPr>
            </w:pPr>
          </w:p>
        </w:tc>
        <w:tc>
          <w:tcPr>
            <w:tcW w:w="6526" w:type="dxa"/>
            <w:gridSpan w:val="5"/>
          </w:tcPr>
          <w:p w14:paraId="42E3DA7A" w14:textId="77777777" w:rsidR="00315FC5" w:rsidRPr="00B1020A" w:rsidRDefault="00315FC5" w:rsidP="00A66280">
            <w:pPr>
              <w:spacing w:after="0" w:line="240" w:lineRule="auto"/>
              <w:rPr>
                <w:b/>
              </w:rPr>
            </w:pPr>
            <w:r w:rsidRPr="00B1020A">
              <w:rPr>
                <w:b/>
              </w:rPr>
              <w:t>Валюта:</w:t>
            </w:r>
          </w:p>
        </w:tc>
        <w:tc>
          <w:tcPr>
            <w:tcW w:w="3685" w:type="dxa"/>
            <w:gridSpan w:val="3"/>
            <w:vAlign w:val="center"/>
          </w:tcPr>
          <w:p w14:paraId="3A41580E" w14:textId="77777777" w:rsidR="00315FC5" w:rsidRPr="00B1020A" w:rsidRDefault="00315FC5" w:rsidP="00A66280">
            <w:pPr>
              <w:spacing w:after="0" w:line="240" w:lineRule="auto"/>
              <w:jc w:val="center"/>
            </w:pPr>
            <w:r w:rsidRPr="00B1020A">
              <w:t>UAH</w:t>
            </w:r>
          </w:p>
        </w:tc>
      </w:tr>
      <w:tr w:rsidR="00315FC5" w:rsidRPr="00B1020A" w14:paraId="3594B324" w14:textId="77777777" w:rsidTr="00A66280">
        <w:trPr>
          <w:jc w:val="center"/>
        </w:trPr>
        <w:tc>
          <w:tcPr>
            <w:tcW w:w="562" w:type="dxa"/>
            <w:tcBorders>
              <w:bottom w:val="single" w:sz="4" w:space="0" w:color="F2F2F2"/>
            </w:tcBorders>
          </w:tcPr>
          <w:p w14:paraId="4C266861" w14:textId="77777777" w:rsidR="00315FC5" w:rsidRPr="00B1020A" w:rsidRDefault="00315FC5" w:rsidP="00A66280">
            <w:pPr>
              <w:spacing w:after="0" w:line="240" w:lineRule="auto"/>
              <w:rPr>
                <w:b/>
              </w:rPr>
            </w:pPr>
          </w:p>
        </w:tc>
        <w:tc>
          <w:tcPr>
            <w:tcW w:w="6526" w:type="dxa"/>
            <w:gridSpan w:val="5"/>
            <w:tcBorders>
              <w:bottom w:val="single" w:sz="4" w:space="0" w:color="F2F2F2"/>
            </w:tcBorders>
          </w:tcPr>
          <w:p w14:paraId="787F3304" w14:textId="77777777" w:rsidR="00315FC5" w:rsidRPr="00B1020A" w:rsidRDefault="00315FC5" w:rsidP="00A66280">
            <w:pPr>
              <w:spacing w:after="0" w:line="240" w:lineRule="auto"/>
              <w:rPr>
                <w:b/>
              </w:rPr>
            </w:pPr>
            <w:r w:rsidRPr="00B1020A">
              <w:rPr>
                <w:b/>
              </w:rPr>
              <w:t>Термін дії цінової пропозиції:</w:t>
            </w:r>
          </w:p>
          <w:p w14:paraId="42D5223B" w14:textId="77777777" w:rsidR="00315FC5" w:rsidRPr="00B1020A" w:rsidRDefault="00315FC5" w:rsidP="00A66280">
            <w:pPr>
              <w:spacing w:after="0" w:line="240" w:lineRule="auto"/>
              <w:jc w:val="both"/>
              <w:rPr>
                <w:i/>
              </w:rPr>
            </w:pPr>
            <w:r w:rsidRPr="00B1020A">
              <w:rPr>
                <w:i/>
              </w:rPr>
              <w:t>(пропозиція має бути чинною протягом щонайменше 3 місяців після кінцевого строку надсилання пропозицій)</w:t>
            </w:r>
          </w:p>
          <w:p w14:paraId="058EFBFE" w14:textId="77777777" w:rsidR="00315FC5" w:rsidRPr="00E97A57" w:rsidRDefault="00315FC5" w:rsidP="00A66280">
            <w:pPr>
              <w:spacing w:after="0" w:line="240" w:lineRule="auto"/>
              <w:jc w:val="both"/>
              <w:rPr>
                <w:b/>
                <w:i/>
                <w:color w:val="C00000"/>
                <w:u w:val="single"/>
              </w:rPr>
            </w:pPr>
            <w:r w:rsidRPr="00B1020A">
              <w:rPr>
                <w:b/>
                <w:i/>
                <w:color w:val="C00000"/>
                <w:u w:val="single"/>
              </w:rPr>
              <w:t>Пропозиції надаються без урахування ПДВ оскільки Фонд ООН у галузі народонаселення звільнено від сплати ПДВ</w:t>
            </w:r>
          </w:p>
        </w:tc>
        <w:tc>
          <w:tcPr>
            <w:tcW w:w="3685" w:type="dxa"/>
            <w:gridSpan w:val="3"/>
            <w:tcBorders>
              <w:bottom w:val="single" w:sz="4" w:space="0" w:color="F2F2F2"/>
            </w:tcBorders>
            <w:vAlign w:val="center"/>
          </w:tcPr>
          <w:p w14:paraId="5965E87C" w14:textId="77777777" w:rsidR="00315FC5" w:rsidRPr="00B1020A" w:rsidRDefault="00315FC5" w:rsidP="00A66280">
            <w:pPr>
              <w:spacing w:after="0" w:line="240" w:lineRule="auto"/>
              <w:ind w:right="493"/>
              <w:jc w:val="center"/>
            </w:pPr>
          </w:p>
        </w:tc>
      </w:tr>
      <w:tr w:rsidR="00315FC5" w14:paraId="470374F2" w14:textId="77777777" w:rsidTr="00A66280">
        <w:tblPrEx>
          <w:jc w:val="left"/>
        </w:tblPrEx>
        <w:trPr>
          <w:gridAfter w:val="1"/>
          <w:wAfter w:w="1363" w:type="dxa"/>
        </w:trPr>
        <w:tc>
          <w:tcPr>
            <w:tcW w:w="605" w:type="dxa"/>
            <w:gridSpan w:val="2"/>
            <w:tcBorders>
              <w:top w:val="single" w:sz="4" w:space="0" w:color="000000"/>
              <w:left w:val="single" w:sz="4" w:space="0" w:color="000000"/>
              <w:bottom w:val="single" w:sz="4" w:space="0" w:color="000000"/>
              <w:right w:val="single" w:sz="4" w:space="0" w:color="000000"/>
            </w:tcBorders>
            <w:shd w:val="clear" w:color="auto" w:fill="000080"/>
            <w:tcMar>
              <w:left w:w="108" w:type="dxa"/>
              <w:right w:w="108" w:type="dxa"/>
            </w:tcMar>
            <w:vAlign w:val="center"/>
          </w:tcPr>
          <w:p w14:paraId="24A93A9B" w14:textId="77777777" w:rsidR="00315FC5" w:rsidRDefault="00315FC5" w:rsidP="00A66280">
            <w:pPr>
              <w:jc w:val="center"/>
            </w:pPr>
            <w:r>
              <w:t>№</w:t>
            </w:r>
          </w:p>
        </w:tc>
        <w:tc>
          <w:tcPr>
            <w:tcW w:w="3496" w:type="dxa"/>
            <w:tcBorders>
              <w:top w:val="single" w:sz="4" w:space="0" w:color="000000"/>
              <w:left w:val="single" w:sz="4" w:space="0" w:color="000000"/>
              <w:bottom w:val="single" w:sz="4" w:space="0" w:color="000000"/>
              <w:right w:val="single" w:sz="4" w:space="0" w:color="000000"/>
            </w:tcBorders>
            <w:shd w:val="clear" w:color="auto" w:fill="000080"/>
            <w:tcMar>
              <w:left w:w="108" w:type="dxa"/>
              <w:right w:w="108" w:type="dxa"/>
            </w:tcMar>
            <w:vAlign w:val="center"/>
          </w:tcPr>
          <w:p w14:paraId="0B3A0D93" w14:textId="77777777" w:rsidR="00315FC5" w:rsidRDefault="00315FC5" w:rsidP="00A66280">
            <w:pPr>
              <w:jc w:val="center"/>
            </w:pPr>
            <w:r>
              <w:t>Опис</w:t>
            </w:r>
          </w:p>
        </w:tc>
        <w:tc>
          <w:tcPr>
            <w:tcW w:w="1559" w:type="dxa"/>
            <w:tcBorders>
              <w:top w:val="single" w:sz="4" w:space="0" w:color="000000"/>
              <w:left w:val="single" w:sz="4" w:space="0" w:color="000000"/>
              <w:bottom w:val="single" w:sz="4" w:space="0" w:color="000000"/>
              <w:right w:val="single" w:sz="4" w:space="0" w:color="000000"/>
            </w:tcBorders>
            <w:shd w:val="clear" w:color="auto" w:fill="000080"/>
            <w:tcMar>
              <w:left w:w="108" w:type="dxa"/>
              <w:right w:w="108" w:type="dxa"/>
            </w:tcMar>
            <w:vAlign w:val="center"/>
          </w:tcPr>
          <w:p w14:paraId="4D277BE5" w14:textId="77777777" w:rsidR="00315FC5" w:rsidRDefault="00315FC5" w:rsidP="00A66280">
            <w:pPr>
              <w:jc w:val="center"/>
            </w:pPr>
            <w:r>
              <w:t>Кількість співробітників</w:t>
            </w:r>
          </w:p>
        </w:tc>
        <w:tc>
          <w:tcPr>
            <w:tcW w:w="1244" w:type="dxa"/>
            <w:tcBorders>
              <w:top w:val="single" w:sz="4" w:space="0" w:color="000000"/>
              <w:left w:val="single" w:sz="4" w:space="0" w:color="000000"/>
              <w:bottom w:val="single" w:sz="4" w:space="0" w:color="000000"/>
              <w:right w:val="single" w:sz="4" w:space="0" w:color="000000"/>
            </w:tcBorders>
            <w:shd w:val="clear" w:color="auto" w:fill="000080"/>
            <w:tcMar>
              <w:left w:w="108" w:type="dxa"/>
              <w:right w:w="108" w:type="dxa"/>
            </w:tcMar>
            <w:vAlign w:val="center"/>
          </w:tcPr>
          <w:p w14:paraId="7EC8E292" w14:textId="77777777" w:rsidR="00315FC5" w:rsidRDefault="00315FC5" w:rsidP="00A66280">
            <w:pPr>
              <w:jc w:val="center"/>
            </w:pPr>
            <w:r>
              <w:t>Погодинна оплата</w:t>
            </w:r>
          </w:p>
        </w:tc>
        <w:tc>
          <w:tcPr>
            <w:tcW w:w="1199" w:type="dxa"/>
            <w:gridSpan w:val="2"/>
            <w:tcBorders>
              <w:top w:val="single" w:sz="4" w:space="0" w:color="000000"/>
              <w:left w:val="single" w:sz="4" w:space="0" w:color="000000"/>
              <w:bottom w:val="single" w:sz="4" w:space="0" w:color="000000"/>
              <w:right w:val="single" w:sz="4" w:space="0" w:color="000000"/>
            </w:tcBorders>
            <w:shd w:val="clear" w:color="auto" w:fill="000080"/>
            <w:tcMar>
              <w:left w:w="108" w:type="dxa"/>
              <w:right w:w="108" w:type="dxa"/>
            </w:tcMar>
            <w:vAlign w:val="center"/>
          </w:tcPr>
          <w:p w14:paraId="7BA8E7D5" w14:textId="77777777" w:rsidR="00315FC5" w:rsidRDefault="00315FC5" w:rsidP="00A66280">
            <w:pPr>
              <w:jc w:val="center"/>
            </w:pPr>
            <w:r>
              <w:t>Кількість годин роботи</w:t>
            </w:r>
          </w:p>
        </w:tc>
        <w:tc>
          <w:tcPr>
            <w:tcW w:w="1307" w:type="dxa"/>
            <w:tcBorders>
              <w:top w:val="single" w:sz="4" w:space="0" w:color="000000"/>
              <w:left w:val="single" w:sz="4" w:space="0" w:color="000000"/>
              <w:bottom w:val="single" w:sz="4" w:space="0" w:color="000000"/>
              <w:right w:val="single" w:sz="4" w:space="0" w:color="000000"/>
            </w:tcBorders>
            <w:shd w:val="clear" w:color="auto" w:fill="000080"/>
            <w:tcMar>
              <w:left w:w="108" w:type="dxa"/>
              <w:right w:w="108" w:type="dxa"/>
            </w:tcMar>
            <w:vAlign w:val="center"/>
          </w:tcPr>
          <w:p w14:paraId="19D2CCB1" w14:textId="77777777" w:rsidR="00315FC5" w:rsidRDefault="00315FC5" w:rsidP="00A66280">
            <w:pPr>
              <w:jc w:val="center"/>
            </w:pPr>
            <w:r>
              <w:t>Загалом</w:t>
            </w:r>
          </w:p>
        </w:tc>
      </w:tr>
      <w:tr w:rsidR="00315FC5" w14:paraId="22ABE3A3" w14:textId="77777777" w:rsidTr="00A66280">
        <w:tblPrEx>
          <w:jc w:val="left"/>
        </w:tblPrEx>
        <w:trPr>
          <w:gridAfter w:val="1"/>
          <w:wAfter w:w="1363" w:type="dxa"/>
        </w:trPr>
        <w:tc>
          <w:tcPr>
            <w:tcW w:w="9410" w:type="dxa"/>
            <w:gridSpan w:val="8"/>
            <w:tcBorders>
              <w:top w:val="single" w:sz="4" w:space="0" w:color="000000"/>
              <w:left w:val="single" w:sz="4" w:space="0" w:color="000000"/>
              <w:bottom w:val="single" w:sz="4" w:space="0" w:color="000000"/>
              <w:right w:val="single" w:sz="4" w:space="0" w:color="000000"/>
            </w:tcBorders>
            <w:shd w:val="clear" w:color="auto" w:fill="DDDDDD"/>
            <w:tcMar>
              <w:left w:w="108" w:type="dxa"/>
              <w:right w:w="108" w:type="dxa"/>
            </w:tcMar>
            <w:vAlign w:val="center"/>
          </w:tcPr>
          <w:p w14:paraId="6AAA4F2A" w14:textId="77777777" w:rsidR="00315FC5" w:rsidRDefault="00315FC5" w:rsidP="00315FC5">
            <w:pPr>
              <w:numPr>
                <w:ilvl w:val="0"/>
                <w:numId w:val="16"/>
              </w:numPr>
              <w:tabs>
                <w:tab w:val="left" w:pos="360"/>
              </w:tabs>
              <w:spacing w:after="0" w:line="240" w:lineRule="auto"/>
              <w:ind w:left="360" w:hanging="360"/>
            </w:pPr>
            <w:r>
              <w:t xml:space="preserve">Гонорари працівникам </w:t>
            </w:r>
          </w:p>
        </w:tc>
      </w:tr>
      <w:tr w:rsidR="00315FC5" w14:paraId="754504D5" w14:textId="77777777" w:rsidTr="00A66280">
        <w:tblPrEx>
          <w:jc w:val="left"/>
        </w:tblPrEx>
        <w:trPr>
          <w:gridAfter w:val="1"/>
          <w:wAfter w:w="1363" w:type="dxa"/>
        </w:trPr>
        <w:tc>
          <w:tcPr>
            <w:tcW w:w="60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3748B4D7" w14:textId="77777777" w:rsidR="00315FC5" w:rsidRDefault="00315FC5" w:rsidP="00A66280">
            <w:pPr>
              <w:jc w:val="both"/>
            </w:pPr>
          </w:p>
        </w:tc>
        <w:tc>
          <w:tcPr>
            <w:tcW w:w="34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B4E60A9" w14:textId="77777777" w:rsidR="00315FC5" w:rsidRDefault="00315FC5" w:rsidP="00A66280">
            <w:pPr>
              <w:jc w:val="both"/>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08DF3B51" w14:textId="77777777" w:rsidR="00315FC5" w:rsidRDefault="00315FC5" w:rsidP="00A66280">
            <w:pPr>
              <w:jc w:val="both"/>
            </w:pP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6F35915" w14:textId="77777777" w:rsidR="00315FC5" w:rsidRDefault="00315FC5" w:rsidP="00A66280">
            <w:pPr>
              <w:jc w:val="both"/>
            </w:pPr>
          </w:p>
        </w:tc>
        <w:tc>
          <w:tcPr>
            <w:tcW w:w="1199"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0AD5F7B" w14:textId="77777777" w:rsidR="00315FC5" w:rsidRDefault="00315FC5" w:rsidP="00A66280">
            <w:pPr>
              <w:jc w:val="both"/>
            </w:pPr>
          </w:p>
        </w:tc>
        <w:tc>
          <w:tcPr>
            <w:tcW w:w="130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634DE68" w14:textId="77777777" w:rsidR="00315FC5" w:rsidRDefault="00315FC5" w:rsidP="00A66280">
            <w:pPr>
              <w:jc w:val="both"/>
            </w:pPr>
          </w:p>
        </w:tc>
      </w:tr>
      <w:tr w:rsidR="00315FC5" w14:paraId="5709E6A3" w14:textId="77777777" w:rsidTr="00A66280">
        <w:tblPrEx>
          <w:jc w:val="left"/>
        </w:tblPrEx>
        <w:trPr>
          <w:gridAfter w:val="1"/>
          <w:wAfter w:w="1363" w:type="dxa"/>
        </w:trPr>
        <w:tc>
          <w:tcPr>
            <w:tcW w:w="60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3D76366" w14:textId="77777777" w:rsidR="00315FC5" w:rsidRDefault="00315FC5" w:rsidP="00A66280">
            <w:pPr>
              <w:jc w:val="both"/>
            </w:pPr>
          </w:p>
        </w:tc>
        <w:tc>
          <w:tcPr>
            <w:tcW w:w="34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290D425B" w14:textId="77777777" w:rsidR="00315FC5" w:rsidRDefault="00315FC5" w:rsidP="00A66280">
            <w:pPr>
              <w:jc w:val="both"/>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CB77219" w14:textId="77777777" w:rsidR="00315FC5" w:rsidRDefault="00315FC5" w:rsidP="00A66280">
            <w:pPr>
              <w:jc w:val="both"/>
            </w:pP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24A12F81" w14:textId="77777777" w:rsidR="00315FC5" w:rsidRDefault="00315FC5" w:rsidP="00A66280">
            <w:pPr>
              <w:jc w:val="both"/>
            </w:pPr>
          </w:p>
        </w:tc>
        <w:tc>
          <w:tcPr>
            <w:tcW w:w="1199"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56A83C9B" w14:textId="77777777" w:rsidR="00315FC5" w:rsidRDefault="00315FC5" w:rsidP="00A66280">
            <w:pPr>
              <w:jc w:val="both"/>
            </w:pPr>
          </w:p>
        </w:tc>
        <w:tc>
          <w:tcPr>
            <w:tcW w:w="130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0F29F0DC" w14:textId="77777777" w:rsidR="00315FC5" w:rsidRDefault="00315FC5" w:rsidP="00A66280">
            <w:pPr>
              <w:jc w:val="both"/>
            </w:pPr>
          </w:p>
        </w:tc>
      </w:tr>
      <w:tr w:rsidR="00315FC5" w14:paraId="0CA2F93E" w14:textId="77777777" w:rsidTr="00A66280">
        <w:tblPrEx>
          <w:jc w:val="left"/>
        </w:tblPrEx>
        <w:trPr>
          <w:gridAfter w:val="1"/>
          <w:wAfter w:w="1363" w:type="dxa"/>
        </w:trPr>
        <w:tc>
          <w:tcPr>
            <w:tcW w:w="60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31E1D654" w14:textId="77777777" w:rsidR="00315FC5" w:rsidRDefault="00315FC5" w:rsidP="00A66280">
            <w:pPr>
              <w:jc w:val="both"/>
            </w:pPr>
          </w:p>
        </w:tc>
        <w:tc>
          <w:tcPr>
            <w:tcW w:w="34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3FE8298F" w14:textId="77777777" w:rsidR="00315FC5" w:rsidRDefault="00315FC5" w:rsidP="00A66280">
            <w:pPr>
              <w:jc w:val="both"/>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88F3302" w14:textId="77777777" w:rsidR="00315FC5" w:rsidRDefault="00315FC5" w:rsidP="00A66280">
            <w:pPr>
              <w:jc w:val="both"/>
            </w:pP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38A4A852" w14:textId="77777777" w:rsidR="00315FC5" w:rsidRDefault="00315FC5" w:rsidP="00A66280">
            <w:pPr>
              <w:jc w:val="both"/>
            </w:pPr>
          </w:p>
        </w:tc>
        <w:tc>
          <w:tcPr>
            <w:tcW w:w="1199"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1FDA2E67" w14:textId="77777777" w:rsidR="00315FC5" w:rsidRDefault="00315FC5" w:rsidP="00A66280">
            <w:pPr>
              <w:jc w:val="both"/>
            </w:pPr>
          </w:p>
        </w:tc>
        <w:tc>
          <w:tcPr>
            <w:tcW w:w="130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1032EC61" w14:textId="77777777" w:rsidR="00315FC5" w:rsidRDefault="00315FC5" w:rsidP="00A66280">
            <w:pPr>
              <w:jc w:val="both"/>
            </w:pPr>
          </w:p>
        </w:tc>
      </w:tr>
      <w:tr w:rsidR="00315FC5" w14:paraId="11964099" w14:textId="77777777" w:rsidTr="00A66280">
        <w:tblPrEx>
          <w:jc w:val="left"/>
        </w:tblPrEx>
        <w:trPr>
          <w:gridAfter w:val="1"/>
          <w:wAfter w:w="1363" w:type="dxa"/>
        </w:trPr>
        <w:tc>
          <w:tcPr>
            <w:tcW w:w="8103" w:type="dxa"/>
            <w:gridSpan w:val="7"/>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6340753F" w14:textId="77777777" w:rsidR="00315FC5" w:rsidRDefault="00315FC5" w:rsidP="00A66280">
            <w:pPr>
              <w:jc w:val="right"/>
            </w:pPr>
            <w:r>
              <w:rPr>
                <w:i/>
              </w:rPr>
              <w:t>Загальна сума гонорару</w:t>
            </w:r>
          </w:p>
        </w:tc>
        <w:tc>
          <w:tcPr>
            <w:tcW w:w="130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3ADED4CB" w14:textId="77777777" w:rsidR="00315FC5" w:rsidRDefault="00315FC5" w:rsidP="00A66280">
            <w:pPr>
              <w:jc w:val="right"/>
            </w:pPr>
          </w:p>
        </w:tc>
      </w:tr>
      <w:tr w:rsidR="00315FC5" w14:paraId="3D106EC5" w14:textId="77777777" w:rsidTr="00A66280">
        <w:tblPrEx>
          <w:jc w:val="left"/>
        </w:tblPrEx>
        <w:trPr>
          <w:gridAfter w:val="1"/>
          <w:wAfter w:w="1363" w:type="dxa"/>
        </w:trPr>
        <w:tc>
          <w:tcPr>
            <w:tcW w:w="9410" w:type="dxa"/>
            <w:gridSpan w:val="8"/>
            <w:tcBorders>
              <w:top w:val="single" w:sz="4" w:space="0" w:color="000000"/>
              <w:left w:val="single" w:sz="4" w:space="0" w:color="000000"/>
              <w:bottom w:val="single" w:sz="4" w:space="0" w:color="000000"/>
              <w:right w:val="single" w:sz="4" w:space="0" w:color="000000"/>
            </w:tcBorders>
            <w:shd w:val="clear" w:color="auto" w:fill="DDDDDD"/>
            <w:tcMar>
              <w:left w:w="108" w:type="dxa"/>
              <w:right w:w="108" w:type="dxa"/>
            </w:tcMar>
            <w:vAlign w:val="center"/>
          </w:tcPr>
          <w:p w14:paraId="4C38E0AF" w14:textId="77777777" w:rsidR="00315FC5" w:rsidRDefault="00315FC5" w:rsidP="00315FC5">
            <w:pPr>
              <w:numPr>
                <w:ilvl w:val="0"/>
                <w:numId w:val="15"/>
              </w:numPr>
              <w:tabs>
                <w:tab w:val="left" w:pos="360"/>
              </w:tabs>
              <w:spacing w:after="0" w:line="240" w:lineRule="auto"/>
              <w:ind w:left="360" w:hanging="360"/>
              <w:jc w:val="both"/>
            </w:pPr>
            <w:r>
              <w:t>Інші витрати</w:t>
            </w:r>
          </w:p>
        </w:tc>
      </w:tr>
      <w:tr w:rsidR="00315FC5" w14:paraId="711B79DE" w14:textId="77777777" w:rsidTr="00A66280">
        <w:tblPrEx>
          <w:jc w:val="left"/>
        </w:tblPrEx>
        <w:trPr>
          <w:gridAfter w:val="1"/>
          <w:wAfter w:w="1363" w:type="dxa"/>
        </w:trPr>
        <w:tc>
          <w:tcPr>
            <w:tcW w:w="60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3A764333" w14:textId="77777777" w:rsidR="00315FC5" w:rsidRDefault="00315FC5" w:rsidP="00A66280">
            <w:pPr>
              <w:jc w:val="both"/>
            </w:pPr>
          </w:p>
        </w:tc>
        <w:tc>
          <w:tcPr>
            <w:tcW w:w="34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65FCC7E1" w14:textId="77777777" w:rsidR="00315FC5" w:rsidRDefault="00315FC5" w:rsidP="00A66280">
            <w:pPr>
              <w:jc w:val="both"/>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2D8CE01A" w14:textId="77777777" w:rsidR="00315FC5" w:rsidRDefault="00315FC5" w:rsidP="00A66280">
            <w:pPr>
              <w:jc w:val="both"/>
            </w:pP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107E055D" w14:textId="77777777" w:rsidR="00315FC5" w:rsidRDefault="00315FC5" w:rsidP="00A66280">
            <w:pPr>
              <w:jc w:val="both"/>
            </w:pPr>
          </w:p>
        </w:tc>
        <w:tc>
          <w:tcPr>
            <w:tcW w:w="1199"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DA071F0" w14:textId="77777777" w:rsidR="00315FC5" w:rsidRDefault="00315FC5" w:rsidP="00A66280">
            <w:pPr>
              <w:jc w:val="both"/>
            </w:pPr>
          </w:p>
        </w:tc>
        <w:tc>
          <w:tcPr>
            <w:tcW w:w="130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1F3FE406" w14:textId="77777777" w:rsidR="00315FC5" w:rsidRDefault="00315FC5" w:rsidP="00A66280">
            <w:pPr>
              <w:jc w:val="both"/>
            </w:pPr>
          </w:p>
        </w:tc>
      </w:tr>
      <w:tr w:rsidR="00315FC5" w14:paraId="676E214C" w14:textId="77777777" w:rsidTr="00A66280">
        <w:tblPrEx>
          <w:jc w:val="left"/>
        </w:tblPrEx>
        <w:trPr>
          <w:gridAfter w:val="1"/>
          <w:wAfter w:w="1363" w:type="dxa"/>
        </w:trPr>
        <w:tc>
          <w:tcPr>
            <w:tcW w:w="60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61F229F" w14:textId="77777777" w:rsidR="00315FC5" w:rsidRDefault="00315FC5" w:rsidP="00A66280">
            <w:pPr>
              <w:jc w:val="both"/>
            </w:pPr>
          </w:p>
        </w:tc>
        <w:tc>
          <w:tcPr>
            <w:tcW w:w="34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33801A09" w14:textId="77777777" w:rsidR="00315FC5" w:rsidRDefault="00315FC5" w:rsidP="00A66280">
            <w:pPr>
              <w:jc w:val="both"/>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547390CD" w14:textId="77777777" w:rsidR="00315FC5" w:rsidRDefault="00315FC5" w:rsidP="00A66280">
            <w:pPr>
              <w:jc w:val="both"/>
            </w:pP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086F7E3" w14:textId="77777777" w:rsidR="00315FC5" w:rsidRDefault="00315FC5" w:rsidP="00A66280">
            <w:pPr>
              <w:jc w:val="both"/>
            </w:pPr>
          </w:p>
        </w:tc>
        <w:tc>
          <w:tcPr>
            <w:tcW w:w="1199"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04E0C37E" w14:textId="77777777" w:rsidR="00315FC5" w:rsidRDefault="00315FC5" w:rsidP="00A66280">
            <w:pPr>
              <w:jc w:val="both"/>
            </w:pPr>
          </w:p>
        </w:tc>
        <w:tc>
          <w:tcPr>
            <w:tcW w:w="130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3DB86E59" w14:textId="77777777" w:rsidR="00315FC5" w:rsidRDefault="00315FC5" w:rsidP="00A66280">
            <w:pPr>
              <w:jc w:val="both"/>
            </w:pPr>
          </w:p>
        </w:tc>
      </w:tr>
      <w:tr w:rsidR="00315FC5" w14:paraId="1909FD48" w14:textId="77777777" w:rsidTr="00A66280">
        <w:tblPrEx>
          <w:jc w:val="left"/>
        </w:tblPrEx>
        <w:trPr>
          <w:gridAfter w:val="1"/>
          <w:wAfter w:w="1363" w:type="dxa"/>
          <w:trHeight w:val="192"/>
        </w:trPr>
        <w:tc>
          <w:tcPr>
            <w:tcW w:w="8103" w:type="dxa"/>
            <w:gridSpan w:val="7"/>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07006011" w14:textId="77777777" w:rsidR="00315FC5" w:rsidRDefault="00315FC5" w:rsidP="00A66280">
            <w:pPr>
              <w:jc w:val="right"/>
            </w:pPr>
            <w:r>
              <w:rPr>
                <w:i/>
              </w:rPr>
              <w:t>Загальна сума інших витрат</w:t>
            </w:r>
          </w:p>
        </w:tc>
        <w:tc>
          <w:tcPr>
            <w:tcW w:w="130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34721E87" w14:textId="77777777" w:rsidR="00315FC5" w:rsidRDefault="00315FC5" w:rsidP="00A66280">
            <w:pPr>
              <w:jc w:val="right"/>
            </w:pPr>
          </w:p>
        </w:tc>
      </w:tr>
      <w:tr w:rsidR="00315FC5" w14:paraId="66C5FB03" w14:textId="77777777" w:rsidTr="00A66280">
        <w:tblPrEx>
          <w:jc w:val="left"/>
        </w:tblPrEx>
        <w:trPr>
          <w:gridAfter w:val="1"/>
          <w:wAfter w:w="1363" w:type="dxa"/>
          <w:trHeight w:val="581"/>
        </w:trPr>
        <w:tc>
          <w:tcPr>
            <w:tcW w:w="8103" w:type="dxa"/>
            <w:gridSpan w:val="7"/>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2F467DA3" w14:textId="77777777" w:rsidR="00315FC5" w:rsidRDefault="00315FC5" w:rsidP="00A66280">
            <w:pPr>
              <w:jc w:val="right"/>
              <w:rPr>
                <w:b/>
                <w:i/>
              </w:rPr>
            </w:pPr>
            <w:r>
              <w:rPr>
                <w:b/>
                <w:i/>
              </w:rPr>
              <w:t>Загальна сума контракту</w:t>
            </w:r>
          </w:p>
          <w:p w14:paraId="3E4E9ED2" w14:textId="77777777" w:rsidR="00315FC5" w:rsidRDefault="00315FC5" w:rsidP="00A66280">
            <w:pPr>
              <w:jc w:val="right"/>
            </w:pPr>
            <w:r>
              <w:rPr>
                <w:i/>
              </w:rPr>
              <w:t xml:space="preserve"> (гонорари працівникам+ інші витрати), грн. без ПДВ</w:t>
            </w:r>
          </w:p>
        </w:tc>
        <w:tc>
          <w:tcPr>
            <w:tcW w:w="130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692FB880" w14:textId="77777777" w:rsidR="00315FC5" w:rsidRDefault="00315FC5" w:rsidP="00A66280">
            <w:pPr>
              <w:jc w:val="right"/>
            </w:pPr>
          </w:p>
        </w:tc>
      </w:tr>
    </w:tbl>
    <w:p w14:paraId="543B8D3D" w14:textId="77777777" w:rsidR="00315FC5" w:rsidRDefault="00315FC5" w:rsidP="00315FC5">
      <w:pPr>
        <w:tabs>
          <w:tab w:val="left" w:pos="-180"/>
          <w:tab w:val="right" w:pos="1980"/>
          <w:tab w:val="left" w:pos="2160"/>
          <w:tab w:val="left" w:pos="4320"/>
        </w:tabs>
        <w:rPr>
          <w:b/>
        </w:rPr>
      </w:pPr>
      <w:r>
        <w:rPr>
          <w:noProof/>
          <w:lang w:val="en-US" w:eastAsia="en-US"/>
        </w:rPr>
        <mc:AlternateContent>
          <mc:Choice Requires="wps">
            <w:drawing>
              <wp:anchor distT="0" distB="0" distL="114300" distR="114300" simplePos="0" relativeHeight="251659264" behindDoc="0" locked="0" layoutInCell="1" hidden="0" allowOverlap="1" wp14:anchorId="570EB445" wp14:editId="73A8BA13">
                <wp:simplePos x="0" y="0"/>
                <wp:positionH relativeFrom="column">
                  <wp:posOffset>-381000</wp:posOffset>
                </wp:positionH>
                <wp:positionV relativeFrom="paragraph">
                  <wp:posOffset>28575</wp:posOffset>
                </wp:positionV>
                <wp:extent cx="6029325" cy="695325"/>
                <wp:effectExtent l="0" t="0" r="0" b="0"/>
                <wp:wrapNone/>
                <wp:docPr id="3" name="Rectangle 3"/>
                <wp:cNvGraphicFramePr/>
                <a:graphic xmlns:a="http://schemas.openxmlformats.org/drawingml/2006/main">
                  <a:graphicData uri="http://schemas.microsoft.com/office/word/2010/wordprocessingShape">
                    <wps:wsp>
                      <wps:cNvSpPr/>
                      <wps:spPr>
                        <a:xfrm>
                          <a:off x="0" y="0"/>
                          <a:ext cx="6029325" cy="695325"/>
                        </a:xfrm>
                        <a:prstGeom prst="rect">
                          <a:avLst/>
                        </a:prstGeom>
                        <a:noFill/>
                        <a:ln w="9525" cap="flat" cmpd="sng">
                          <a:solidFill>
                            <a:srgbClr val="000000"/>
                          </a:solidFill>
                          <a:prstDash val="solid"/>
                          <a:miter lim="800000"/>
                          <a:headEnd type="none" w="sm" len="sm"/>
                          <a:tailEnd type="none" w="sm" len="sm"/>
                        </a:ln>
                      </wps:spPr>
                      <wps:txbx>
                        <w:txbxContent>
                          <w:p w14:paraId="2C0F2815" w14:textId="77777777" w:rsidR="00315FC5" w:rsidRDefault="00315FC5" w:rsidP="00315FC5">
                            <w:pPr>
                              <w:spacing w:line="258" w:lineRule="auto"/>
                              <w:textDirection w:val="btLr"/>
                            </w:pPr>
                            <w:r>
                              <w:rPr>
                                <w:i/>
                                <w:color w:val="000000"/>
                              </w:rPr>
                              <w:t>Коментарі:</w:t>
                            </w:r>
                          </w:p>
                        </w:txbxContent>
                      </wps:txbx>
                      <wps:bodyPr spcFirstLastPara="1" wrap="square" lIns="91425" tIns="45700" rIns="91425" bIns="45700" anchor="t" anchorCtr="0">
                        <a:noAutofit/>
                      </wps:bodyPr>
                    </wps:wsp>
                  </a:graphicData>
                </a:graphic>
              </wp:anchor>
            </w:drawing>
          </mc:Choice>
          <mc:Fallback>
            <w:pict>
              <v:rect w14:anchorId="570EB445" id="Rectangle 3" o:spid="_x0000_s1026" style="position:absolute;margin-left:-30pt;margin-top:2.25pt;width:474.75pt;height:54.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" filled="f">
                <v:stroke startarrowwidth="narrow" startarrowlength="short" endarrowwidth="narrow" endarrowlength="short"/>
                <v:textbox inset="2.53958mm,1.2694mm,2.53958mm,1.2694mm">
                  <w:txbxContent>
                    <w:p w14:paraId="2C0F2815" w14:textId="77777777" w:rsidR="00315FC5" w:rsidRDefault="00315FC5" w:rsidP="00315FC5">
                      <w:pPr>
                        <w:spacing w:line="258" w:lineRule="auto"/>
                        <w:textDirection w:val="btLr"/>
                      </w:pPr>
                      <w:r>
                        <w:rPr>
                          <w:i/>
                          <w:color w:val="000000"/>
                        </w:rPr>
                        <w:t>Коментарі:</w:t>
                      </w:r>
                    </w:p>
                  </w:txbxContent>
                </v:textbox>
              </v:rect>
            </w:pict>
          </mc:Fallback>
        </mc:AlternateContent>
      </w:r>
    </w:p>
    <w:p w14:paraId="0BA62D43" w14:textId="77777777" w:rsidR="00315FC5" w:rsidRDefault="00315FC5" w:rsidP="00315FC5">
      <w:pPr>
        <w:tabs>
          <w:tab w:val="left" w:pos="-180"/>
          <w:tab w:val="right" w:pos="1980"/>
          <w:tab w:val="left" w:pos="2160"/>
          <w:tab w:val="left" w:pos="4320"/>
        </w:tabs>
        <w:rPr>
          <w:b/>
        </w:rPr>
      </w:pPr>
    </w:p>
    <w:p w14:paraId="01231D7D" w14:textId="77777777" w:rsidR="00315FC5" w:rsidRDefault="00315FC5" w:rsidP="00315FC5">
      <w:pPr>
        <w:pBdr>
          <w:top w:val="nil"/>
          <w:left w:val="nil"/>
          <w:bottom w:val="nil"/>
          <w:right w:val="nil"/>
          <w:between w:val="nil"/>
        </w:pBdr>
        <w:spacing w:after="0" w:line="240" w:lineRule="auto"/>
        <w:jc w:val="both"/>
        <w:rPr>
          <w:color w:val="000000"/>
        </w:rPr>
      </w:pPr>
    </w:p>
    <w:p w14:paraId="3B2EF617" w14:textId="77777777" w:rsidR="00315FC5" w:rsidRDefault="00315FC5" w:rsidP="00315FC5">
      <w:pPr>
        <w:spacing w:after="0" w:line="240" w:lineRule="auto"/>
        <w:jc w:val="both"/>
      </w:pPr>
    </w:p>
    <w:p w14:paraId="13A3943F" w14:textId="6EBFF645" w:rsidR="00315FC5" w:rsidRDefault="00315FC5" w:rsidP="00315FC5">
      <w:pPr>
        <w:spacing w:after="0"/>
        <w:jc w:val="both"/>
        <w:rPr>
          <w:b/>
        </w:rPr>
      </w:pPr>
      <w:r>
        <w:t xml:space="preserve">Цим засвідчую, що вище вказана компанія, яку я уповноважений представляти, переглянула </w:t>
      </w:r>
      <w:r>
        <w:rPr>
          <w:b/>
        </w:rPr>
        <w:t>Запит на Подання Пропозицій RFQ Nº UNFPA/UKR/RFQ/22/</w:t>
      </w:r>
      <w:r w:rsidR="007F1505">
        <w:rPr>
          <w:b/>
        </w:rPr>
        <w:t>17</w:t>
      </w:r>
      <w:r w:rsidRPr="00C23AAA">
        <w:rPr>
          <w:b/>
        </w:rPr>
        <w:t xml:space="preserve"> [</w:t>
      </w:r>
      <w:r w:rsidR="007F1505">
        <w:rPr>
          <w:b/>
        </w:rPr>
        <w:t>Розробка стратегії просування роботи гарячої лінії та її реалізація</w:t>
      </w:r>
      <w:r>
        <w:rPr>
          <w:b/>
        </w:rPr>
        <w:t>]</w:t>
      </w:r>
      <w:r>
        <w:t xml:space="preserve">,у тому числі всі додатки, зміни в документі (якщо такі мають місце) та відповіді Фонду ООН у галузі народонаселення на уточнювальні питання Фонду ООН у галузі народонаселення з боку потенційного постачальника. Також, компанія приймає Загальні умови договору та буде дотримуватися цієї цінової пропозиції до моменту закінчення терміну дії останньої. </w:t>
      </w:r>
    </w:p>
    <w:tbl>
      <w:tblPr>
        <w:tblW w:w="9242"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00" w:firstRow="0" w:lastRow="0" w:firstColumn="0" w:lastColumn="0" w:noHBand="0" w:noVBand="1"/>
      </w:tblPr>
      <w:tblGrid>
        <w:gridCol w:w="4623"/>
        <w:gridCol w:w="2309"/>
        <w:gridCol w:w="2310"/>
      </w:tblGrid>
      <w:tr w:rsidR="00315FC5" w14:paraId="35EF612A" w14:textId="77777777" w:rsidTr="00A66280">
        <w:tc>
          <w:tcPr>
            <w:tcW w:w="4623" w:type="dxa"/>
            <w:shd w:val="clear" w:color="auto" w:fill="auto"/>
            <w:vAlign w:val="center"/>
          </w:tcPr>
          <w:p w14:paraId="057AE332" w14:textId="77777777" w:rsidR="00315FC5" w:rsidRDefault="00315FC5" w:rsidP="00A66280">
            <w:pPr>
              <w:tabs>
                <w:tab w:val="left" w:pos="-180"/>
                <w:tab w:val="right" w:pos="1980"/>
                <w:tab w:val="left" w:pos="2160"/>
                <w:tab w:val="left" w:pos="4320"/>
              </w:tabs>
            </w:pPr>
          </w:p>
          <w:p w14:paraId="566AB261" w14:textId="77777777" w:rsidR="00315FC5" w:rsidRDefault="00315FC5" w:rsidP="00A66280">
            <w:pPr>
              <w:tabs>
                <w:tab w:val="left" w:pos="-180"/>
                <w:tab w:val="right" w:pos="1980"/>
                <w:tab w:val="left" w:pos="2160"/>
                <w:tab w:val="left" w:pos="4320"/>
              </w:tabs>
            </w:pPr>
          </w:p>
        </w:tc>
        <w:tc>
          <w:tcPr>
            <w:tcW w:w="2309" w:type="dxa"/>
            <w:tcBorders>
              <w:right w:val="nil"/>
            </w:tcBorders>
            <w:shd w:val="clear" w:color="auto" w:fill="auto"/>
            <w:vAlign w:val="center"/>
          </w:tcPr>
          <w:p w14:paraId="564A1C70" w14:textId="77777777" w:rsidR="00315FC5" w:rsidRDefault="00315FC5" w:rsidP="00A66280">
            <w:pPr>
              <w:tabs>
                <w:tab w:val="left" w:pos="-180"/>
                <w:tab w:val="right" w:pos="1980"/>
                <w:tab w:val="left" w:pos="2160"/>
                <w:tab w:val="left" w:pos="4320"/>
              </w:tabs>
              <w:jc w:val="center"/>
            </w:pPr>
            <w:r>
              <w:rPr>
                <w:color w:val="808080"/>
              </w:rPr>
              <w:t>Click here to enter a date.</w:t>
            </w:r>
          </w:p>
        </w:tc>
        <w:tc>
          <w:tcPr>
            <w:tcW w:w="2310" w:type="dxa"/>
            <w:tcBorders>
              <w:left w:val="nil"/>
            </w:tcBorders>
            <w:shd w:val="clear" w:color="auto" w:fill="auto"/>
            <w:vAlign w:val="center"/>
          </w:tcPr>
          <w:p w14:paraId="7431CF6C" w14:textId="77777777" w:rsidR="00315FC5" w:rsidRDefault="00315FC5" w:rsidP="00A66280">
            <w:pPr>
              <w:tabs>
                <w:tab w:val="left" w:pos="-180"/>
                <w:tab w:val="right" w:pos="1980"/>
                <w:tab w:val="left" w:pos="2160"/>
                <w:tab w:val="left" w:pos="4320"/>
              </w:tabs>
            </w:pPr>
          </w:p>
        </w:tc>
      </w:tr>
      <w:tr w:rsidR="00315FC5" w14:paraId="6F8D281F" w14:textId="77777777" w:rsidTr="00A66280">
        <w:tc>
          <w:tcPr>
            <w:tcW w:w="4623" w:type="dxa"/>
            <w:shd w:val="clear" w:color="auto" w:fill="auto"/>
            <w:vAlign w:val="center"/>
          </w:tcPr>
          <w:p w14:paraId="3B6F56B5" w14:textId="77777777" w:rsidR="00315FC5" w:rsidRDefault="00315FC5" w:rsidP="00A66280">
            <w:pPr>
              <w:tabs>
                <w:tab w:val="left" w:pos="-180"/>
                <w:tab w:val="right" w:pos="1980"/>
                <w:tab w:val="left" w:pos="2160"/>
                <w:tab w:val="left" w:pos="4320"/>
              </w:tabs>
              <w:jc w:val="center"/>
            </w:pPr>
            <w:r>
              <w:t>Ім’я, прізвище та посада</w:t>
            </w:r>
          </w:p>
        </w:tc>
        <w:tc>
          <w:tcPr>
            <w:tcW w:w="4619" w:type="dxa"/>
            <w:gridSpan w:val="2"/>
            <w:shd w:val="clear" w:color="auto" w:fill="auto"/>
            <w:vAlign w:val="center"/>
          </w:tcPr>
          <w:p w14:paraId="395E3E6A" w14:textId="77777777" w:rsidR="00315FC5" w:rsidRDefault="00315FC5" w:rsidP="00A66280">
            <w:pPr>
              <w:tabs>
                <w:tab w:val="left" w:pos="-180"/>
                <w:tab w:val="right" w:pos="1980"/>
                <w:tab w:val="left" w:pos="2160"/>
                <w:tab w:val="left" w:pos="4320"/>
              </w:tabs>
              <w:jc w:val="center"/>
            </w:pPr>
            <w:r>
              <w:t>Дата та місце</w:t>
            </w:r>
          </w:p>
        </w:tc>
      </w:tr>
    </w:tbl>
    <w:p w14:paraId="15490F45" w14:textId="77777777" w:rsidR="00315FC5" w:rsidRDefault="00315FC5" w:rsidP="00315FC5">
      <w:pPr>
        <w:jc w:val="center"/>
        <w:rPr>
          <w:b/>
        </w:rPr>
      </w:pPr>
    </w:p>
    <w:p w14:paraId="2EDB9406" w14:textId="77777777" w:rsidR="00315FC5" w:rsidRDefault="00315FC5" w:rsidP="00315FC5">
      <w:pPr>
        <w:jc w:val="center"/>
        <w:rPr>
          <w:b/>
        </w:rPr>
      </w:pPr>
    </w:p>
    <w:p w14:paraId="38CA685F" w14:textId="77777777" w:rsidR="00315FC5" w:rsidRDefault="00315FC5" w:rsidP="00315FC5">
      <w:pPr>
        <w:jc w:val="center"/>
        <w:rPr>
          <w:b/>
        </w:rPr>
      </w:pPr>
    </w:p>
    <w:p w14:paraId="4812D536" w14:textId="77777777" w:rsidR="00315FC5" w:rsidRDefault="00315FC5" w:rsidP="00315FC5">
      <w:pPr>
        <w:jc w:val="center"/>
        <w:rPr>
          <w:b/>
        </w:rPr>
      </w:pPr>
      <w:r>
        <w:rPr>
          <w:b/>
        </w:rPr>
        <w:lastRenderedPageBreak/>
        <w:t>Додаток I:</w:t>
      </w:r>
    </w:p>
    <w:p w14:paraId="158A4426" w14:textId="77777777" w:rsidR="00315FC5" w:rsidRDefault="00315FC5" w:rsidP="00315FC5">
      <w:pPr>
        <w:jc w:val="center"/>
        <w:rPr>
          <w:b/>
        </w:rPr>
      </w:pPr>
      <w:r>
        <w:rPr>
          <w:b/>
        </w:rPr>
        <w:t>Загальні умови договору:</w:t>
      </w:r>
    </w:p>
    <w:p w14:paraId="74651CE0" w14:textId="77777777" w:rsidR="00315FC5" w:rsidRDefault="00315FC5" w:rsidP="00315FC5">
      <w:pPr>
        <w:jc w:val="center"/>
        <w:rPr>
          <w:b/>
        </w:rPr>
      </w:pPr>
      <w:r>
        <w:rPr>
          <w:b/>
        </w:rPr>
        <w:t>De Minimis Contracts</w:t>
      </w:r>
    </w:p>
    <w:p w14:paraId="6611AA9E" w14:textId="77777777" w:rsidR="00315FC5" w:rsidRDefault="00315FC5" w:rsidP="00315FC5"/>
    <w:p w14:paraId="4ECB694E" w14:textId="77777777" w:rsidR="00315FC5" w:rsidRDefault="00315FC5" w:rsidP="00315FC5">
      <w:pPr>
        <w:tabs>
          <w:tab w:val="left" w:pos="7020"/>
        </w:tabs>
      </w:pPr>
    </w:p>
    <w:p w14:paraId="6C93C37A" w14:textId="77777777" w:rsidR="00315FC5" w:rsidRDefault="00315FC5" w:rsidP="00315FC5">
      <w:pPr>
        <w:tabs>
          <w:tab w:val="left" w:pos="7020"/>
        </w:tabs>
      </w:pPr>
      <w:r>
        <w:t xml:space="preserve">Цей запит на подання пропозицій підпадає під дію Загальних умов договору Фонду ООН у галузі народонаселення: De Minimis Contracts, який можна знайти тут: </w:t>
      </w:r>
      <w:hyperlink r:id="rId15">
        <w:r>
          <w:rPr>
            <w:color w:val="0563C1"/>
            <w:u w:val="single"/>
          </w:rPr>
          <w:t>English,</w:t>
        </w:r>
      </w:hyperlink>
      <w:r>
        <w:rPr>
          <w:color w:val="0563C1"/>
          <w:u w:val="single"/>
        </w:rPr>
        <w:t xml:space="preserve"> </w:t>
      </w:r>
      <w:hyperlink r:id="rId16">
        <w:r>
          <w:rPr>
            <w:color w:val="0563C1"/>
            <w:u w:val="single"/>
          </w:rPr>
          <w:t>Spanish</w:t>
        </w:r>
      </w:hyperlink>
      <w:r>
        <w:t xml:space="preserve"> і </w:t>
      </w:r>
      <w:hyperlink r:id="rId17">
        <w:r>
          <w:rPr>
            <w:color w:val="0563C1"/>
            <w:u w:val="single"/>
          </w:rPr>
          <w:t>French</w:t>
        </w:r>
      </w:hyperlink>
    </w:p>
    <w:p w14:paraId="7BBF1FF8" w14:textId="77777777" w:rsidR="00315FC5" w:rsidRDefault="00315FC5" w:rsidP="00315FC5"/>
    <w:p w14:paraId="6E3A68A6" w14:textId="77777777" w:rsidR="00315FC5" w:rsidRDefault="00315FC5" w:rsidP="00315FC5"/>
    <w:p w14:paraId="51CD9660" w14:textId="77777777" w:rsidR="00315FC5" w:rsidRDefault="00315FC5" w:rsidP="00315FC5">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pPr>
    </w:p>
    <w:p w14:paraId="527F2904" w14:textId="77777777" w:rsidR="00315FC5" w:rsidRDefault="00315FC5">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pPr>
    </w:p>
    <w:sectPr w:rsidR="00315FC5">
      <w:headerReference w:type="default" r:id="rId18"/>
      <w:pgSz w:w="11907" w:h="16839"/>
      <w:pgMar w:top="850" w:right="850" w:bottom="850" w:left="1411"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DD675E" w14:textId="77777777" w:rsidR="00495746" w:rsidRDefault="00495746">
      <w:pPr>
        <w:spacing w:after="0" w:line="240" w:lineRule="auto"/>
      </w:pPr>
      <w:r>
        <w:separator/>
      </w:r>
    </w:p>
  </w:endnote>
  <w:endnote w:type="continuationSeparator" w:id="0">
    <w:p w14:paraId="07C63186" w14:textId="77777777" w:rsidR="00495746" w:rsidRDefault="004957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848C9C" w14:textId="77777777" w:rsidR="00495746" w:rsidRDefault="00495746">
      <w:pPr>
        <w:spacing w:after="0" w:line="240" w:lineRule="auto"/>
      </w:pPr>
      <w:r>
        <w:separator/>
      </w:r>
    </w:p>
  </w:footnote>
  <w:footnote w:type="continuationSeparator" w:id="0">
    <w:p w14:paraId="4A10FD5E" w14:textId="77777777" w:rsidR="00495746" w:rsidRDefault="004957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4219AF" w14:textId="77777777" w:rsidR="005C4D7D" w:rsidRDefault="00166916">
    <w:pPr>
      <w:pBdr>
        <w:top w:val="nil"/>
        <w:left w:val="nil"/>
        <w:bottom w:val="nil"/>
        <w:right w:val="nil"/>
        <w:between w:val="nil"/>
      </w:pBdr>
      <w:tabs>
        <w:tab w:val="center" w:pos="4986"/>
        <w:tab w:val="right" w:pos="9973"/>
      </w:tabs>
      <w:spacing w:after="0" w:line="240" w:lineRule="auto"/>
      <w:jc w:val="right"/>
      <w:rPr>
        <w:color w:val="000000"/>
        <w:sz w:val="18"/>
        <w:szCs w:val="18"/>
      </w:rPr>
    </w:pPr>
    <w:r>
      <w:rPr>
        <w:color w:val="000000"/>
        <w:sz w:val="18"/>
        <w:szCs w:val="18"/>
      </w:rPr>
      <w:t xml:space="preserve"> United Nations Population Fund</w:t>
    </w:r>
    <w:r>
      <w:rPr>
        <w:noProof/>
        <w:lang w:val="en-US" w:eastAsia="en-US"/>
      </w:rPr>
      <w:drawing>
        <wp:anchor distT="0" distB="0" distL="114300" distR="114300" simplePos="0" relativeHeight="251658240" behindDoc="0" locked="0" layoutInCell="1" hidden="0" allowOverlap="1" wp14:anchorId="4DF22493" wp14:editId="5D71F17E">
          <wp:simplePos x="0" y="0"/>
          <wp:positionH relativeFrom="column">
            <wp:posOffset>5</wp:posOffset>
          </wp:positionH>
          <wp:positionV relativeFrom="paragraph">
            <wp:posOffset>9525</wp:posOffset>
          </wp:positionV>
          <wp:extent cx="971550" cy="457200"/>
          <wp:effectExtent l="0" t="0" r="0" b="0"/>
          <wp:wrapSquare wrapText="bothSides" distT="0" distB="0" distL="114300" distR="114300"/>
          <wp:docPr id="1" name="image1.png" descr="clouored%20logo"/>
          <wp:cNvGraphicFramePr/>
          <a:graphic xmlns:a="http://schemas.openxmlformats.org/drawingml/2006/main">
            <a:graphicData uri="http://schemas.openxmlformats.org/drawingml/2006/picture">
              <pic:pic xmlns:pic="http://schemas.openxmlformats.org/drawingml/2006/picture">
                <pic:nvPicPr>
                  <pic:cNvPr id="0" name="image1.png" descr="clouored%20logo"/>
                  <pic:cNvPicPr preferRelativeResize="0"/>
                </pic:nvPicPr>
                <pic:blipFill>
                  <a:blip r:embed="rId1"/>
                  <a:srcRect/>
                  <a:stretch>
                    <a:fillRect/>
                  </a:stretch>
                </pic:blipFill>
                <pic:spPr>
                  <a:xfrm>
                    <a:off x="0" y="0"/>
                    <a:ext cx="971550" cy="457200"/>
                  </a:xfrm>
                  <a:prstGeom prst="rect">
                    <a:avLst/>
                  </a:prstGeom>
                  <a:ln/>
                </pic:spPr>
              </pic:pic>
            </a:graphicData>
          </a:graphic>
        </wp:anchor>
      </w:drawing>
    </w:r>
  </w:p>
  <w:p w14:paraId="50E0093E" w14:textId="77777777" w:rsidR="005C4D7D" w:rsidRDefault="00166916">
    <w:pPr>
      <w:pBdr>
        <w:top w:val="nil"/>
        <w:left w:val="nil"/>
        <w:bottom w:val="nil"/>
        <w:right w:val="nil"/>
        <w:between w:val="nil"/>
      </w:pBdr>
      <w:tabs>
        <w:tab w:val="center" w:pos="4986"/>
        <w:tab w:val="right" w:pos="9973"/>
      </w:tabs>
      <w:spacing w:after="0" w:line="240" w:lineRule="auto"/>
      <w:jc w:val="right"/>
      <w:rPr>
        <w:color w:val="000000"/>
        <w:sz w:val="18"/>
        <w:szCs w:val="18"/>
      </w:rPr>
    </w:pPr>
    <w:r>
      <w:rPr>
        <w:color w:val="000000"/>
        <w:sz w:val="18"/>
        <w:szCs w:val="18"/>
      </w:rPr>
      <w:t>CO Ukraine</w:t>
    </w:r>
  </w:p>
  <w:p w14:paraId="3DCF71FB" w14:textId="77777777" w:rsidR="005C4D7D" w:rsidRDefault="00166916">
    <w:pPr>
      <w:pBdr>
        <w:top w:val="nil"/>
        <w:left w:val="nil"/>
        <w:bottom w:val="nil"/>
        <w:right w:val="nil"/>
        <w:between w:val="nil"/>
      </w:pBdr>
      <w:tabs>
        <w:tab w:val="center" w:pos="4986"/>
        <w:tab w:val="right" w:pos="9973"/>
      </w:tabs>
      <w:spacing w:after="0" w:line="240" w:lineRule="auto"/>
      <w:jc w:val="right"/>
      <w:rPr>
        <w:color w:val="000000"/>
        <w:sz w:val="18"/>
        <w:szCs w:val="18"/>
      </w:rPr>
    </w:pPr>
    <w:r>
      <w:rPr>
        <w:color w:val="000000"/>
        <w:sz w:val="18"/>
        <w:szCs w:val="18"/>
      </w:rPr>
      <w:t>E-mail: ukraine.office@unfpa.org</w:t>
    </w:r>
  </w:p>
  <w:p w14:paraId="5A547795" w14:textId="77777777" w:rsidR="005C4D7D" w:rsidRDefault="00166916">
    <w:pPr>
      <w:pBdr>
        <w:top w:val="nil"/>
        <w:left w:val="nil"/>
        <w:bottom w:val="nil"/>
        <w:right w:val="nil"/>
        <w:between w:val="nil"/>
      </w:pBdr>
      <w:tabs>
        <w:tab w:val="center" w:pos="4986"/>
        <w:tab w:val="right" w:pos="9973"/>
      </w:tabs>
      <w:spacing w:after="0" w:line="240" w:lineRule="auto"/>
      <w:jc w:val="right"/>
      <w:rPr>
        <w:color w:val="000000"/>
      </w:rPr>
    </w:pPr>
    <w:r>
      <w:rPr>
        <w:color w:val="000000"/>
        <w:sz w:val="18"/>
        <w:szCs w:val="18"/>
      </w:rPr>
      <w:t>Website: www.unfpa.org.ua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132A4"/>
    <w:multiLevelType w:val="multilevel"/>
    <w:tmpl w:val="FE3606D6"/>
    <w:lvl w:ilvl="0">
      <w:start w:val="2"/>
      <w:numFmt w:val="bullet"/>
      <w:lvlText w:val="-"/>
      <w:lvlJc w:val="left"/>
      <w:pPr>
        <w:ind w:left="408"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8C779E3"/>
    <w:multiLevelType w:val="multilevel"/>
    <w:tmpl w:val="B66016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D906704"/>
    <w:multiLevelType w:val="multilevel"/>
    <w:tmpl w:val="AC2EE136"/>
    <w:lvl w:ilvl="0">
      <w:start w:val="2"/>
      <w:numFmt w:val="bullet"/>
      <w:lvlText w:val="-"/>
      <w:lvlJc w:val="left"/>
      <w:pPr>
        <w:ind w:left="1175" w:hanging="360"/>
      </w:pPr>
      <w:rPr>
        <w:rFonts w:ascii="Calibri" w:eastAsia="Calibri" w:hAnsi="Calibri" w:cs="Calibri"/>
      </w:rPr>
    </w:lvl>
    <w:lvl w:ilvl="1">
      <w:start w:val="1"/>
      <w:numFmt w:val="bullet"/>
      <w:lvlText w:val="o"/>
      <w:lvlJc w:val="left"/>
      <w:pPr>
        <w:ind w:left="2207" w:hanging="360"/>
      </w:pPr>
      <w:rPr>
        <w:rFonts w:ascii="Courier New" w:eastAsia="Courier New" w:hAnsi="Courier New" w:cs="Courier New"/>
      </w:rPr>
    </w:lvl>
    <w:lvl w:ilvl="2">
      <w:start w:val="1"/>
      <w:numFmt w:val="bullet"/>
      <w:lvlText w:val="▪"/>
      <w:lvlJc w:val="left"/>
      <w:pPr>
        <w:ind w:left="2927" w:hanging="360"/>
      </w:pPr>
      <w:rPr>
        <w:rFonts w:ascii="Noto Sans Symbols" w:eastAsia="Noto Sans Symbols" w:hAnsi="Noto Sans Symbols" w:cs="Noto Sans Symbols"/>
      </w:rPr>
    </w:lvl>
    <w:lvl w:ilvl="3">
      <w:start w:val="1"/>
      <w:numFmt w:val="bullet"/>
      <w:lvlText w:val="●"/>
      <w:lvlJc w:val="left"/>
      <w:pPr>
        <w:ind w:left="3647" w:hanging="360"/>
      </w:pPr>
      <w:rPr>
        <w:rFonts w:ascii="Noto Sans Symbols" w:eastAsia="Noto Sans Symbols" w:hAnsi="Noto Sans Symbols" w:cs="Noto Sans Symbols"/>
      </w:rPr>
    </w:lvl>
    <w:lvl w:ilvl="4">
      <w:start w:val="1"/>
      <w:numFmt w:val="bullet"/>
      <w:lvlText w:val="o"/>
      <w:lvlJc w:val="left"/>
      <w:pPr>
        <w:ind w:left="4367" w:hanging="360"/>
      </w:pPr>
      <w:rPr>
        <w:rFonts w:ascii="Courier New" w:eastAsia="Courier New" w:hAnsi="Courier New" w:cs="Courier New"/>
      </w:rPr>
    </w:lvl>
    <w:lvl w:ilvl="5">
      <w:start w:val="1"/>
      <w:numFmt w:val="bullet"/>
      <w:lvlText w:val="▪"/>
      <w:lvlJc w:val="left"/>
      <w:pPr>
        <w:ind w:left="5087" w:hanging="360"/>
      </w:pPr>
      <w:rPr>
        <w:rFonts w:ascii="Noto Sans Symbols" w:eastAsia="Noto Sans Symbols" w:hAnsi="Noto Sans Symbols" w:cs="Noto Sans Symbols"/>
      </w:rPr>
    </w:lvl>
    <w:lvl w:ilvl="6">
      <w:start w:val="1"/>
      <w:numFmt w:val="bullet"/>
      <w:lvlText w:val="●"/>
      <w:lvlJc w:val="left"/>
      <w:pPr>
        <w:ind w:left="5807" w:hanging="360"/>
      </w:pPr>
      <w:rPr>
        <w:rFonts w:ascii="Noto Sans Symbols" w:eastAsia="Noto Sans Symbols" w:hAnsi="Noto Sans Symbols" w:cs="Noto Sans Symbols"/>
      </w:rPr>
    </w:lvl>
    <w:lvl w:ilvl="7">
      <w:start w:val="1"/>
      <w:numFmt w:val="bullet"/>
      <w:lvlText w:val="o"/>
      <w:lvlJc w:val="left"/>
      <w:pPr>
        <w:ind w:left="6527" w:hanging="360"/>
      </w:pPr>
      <w:rPr>
        <w:rFonts w:ascii="Courier New" w:eastAsia="Courier New" w:hAnsi="Courier New" w:cs="Courier New"/>
      </w:rPr>
    </w:lvl>
    <w:lvl w:ilvl="8">
      <w:start w:val="1"/>
      <w:numFmt w:val="bullet"/>
      <w:lvlText w:val="▪"/>
      <w:lvlJc w:val="left"/>
      <w:pPr>
        <w:ind w:left="7247" w:hanging="360"/>
      </w:pPr>
      <w:rPr>
        <w:rFonts w:ascii="Noto Sans Symbols" w:eastAsia="Noto Sans Symbols" w:hAnsi="Noto Sans Symbols" w:cs="Noto Sans Symbols"/>
      </w:rPr>
    </w:lvl>
  </w:abstractNum>
  <w:abstractNum w:abstractNumId="3" w15:restartNumberingAfterBreak="0">
    <w:nsid w:val="30556695"/>
    <w:multiLevelType w:val="multilevel"/>
    <w:tmpl w:val="66DC786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3A516B65"/>
    <w:multiLevelType w:val="multilevel"/>
    <w:tmpl w:val="9FC84FF4"/>
    <w:lvl w:ilvl="0">
      <w:start w:val="1"/>
      <w:numFmt w:val="bullet"/>
      <w:lvlText w:val="·"/>
      <w:lvlJc w:val="left"/>
      <w:pPr>
        <w:ind w:left="1212" w:hanging="503"/>
      </w:pPr>
      <w:rPr>
        <w:rFonts w:ascii="Calibri" w:eastAsia="Calibri" w:hAnsi="Calibri" w:cs="Calibri"/>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5" w15:restartNumberingAfterBreak="0">
    <w:nsid w:val="41FC18F3"/>
    <w:multiLevelType w:val="multilevel"/>
    <w:tmpl w:val="C658999A"/>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46C94DA3"/>
    <w:multiLevelType w:val="hybridMultilevel"/>
    <w:tmpl w:val="5AC2590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47F94C47"/>
    <w:multiLevelType w:val="multilevel"/>
    <w:tmpl w:val="170ED656"/>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8" w15:restartNumberingAfterBreak="0">
    <w:nsid w:val="48215A8C"/>
    <w:multiLevelType w:val="multilevel"/>
    <w:tmpl w:val="F63C25B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4A71124F"/>
    <w:multiLevelType w:val="multilevel"/>
    <w:tmpl w:val="38520D2A"/>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0" w15:restartNumberingAfterBreak="0">
    <w:nsid w:val="4EC17C0F"/>
    <w:multiLevelType w:val="multilevel"/>
    <w:tmpl w:val="28ACD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1766043"/>
    <w:multiLevelType w:val="multilevel"/>
    <w:tmpl w:val="4DF422E2"/>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2" w15:restartNumberingAfterBreak="0">
    <w:nsid w:val="573024FC"/>
    <w:multiLevelType w:val="multilevel"/>
    <w:tmpl w:val="2D5A507C"/>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3" w15:restartNumberingAfterBreak="0">
    <w:nsid w:val="574C3B83"/>
    <w:multiLevelType w:val="multilevel"/>
    <w:tmpl w:val="5F2A6980"/>
    <w:lvl w:ilvl="0">
      <w:start w:val="1"/>
      <w:numFmt w:val="decimal"/>
      <w:lvlText w:val="%1."/>
      <w:lvlJc w:val="left"/>
      <w:pPr>
        <w:ind w:left="1440" w:hanging="360"/>
      </w:p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4" w15:restartNumberingAfterBreak="0">
    <w:nsid w:val="5BE368B0"/>
    <w:multiLevelType w:val="multilevel"/>
    <w:tmpl w:val="FCAE4244"/>
    <w:lvl w:ilvl="0">
      <w:start w:val="2"/>
      <w:numFmt w:val="bullet"/>
      <w:lvlText w:val="-"/>
      <w:lvlJc w:val="left"/>
      <w:pPr>
        <w:ind w:left="408" w:hanging="360"/>
      </w:pPr>
      <w:rPr>
        <w:rFonts w:ascii="Calibri" w:eastAsia="Calibri" w:hAnsi="Calibri" w:cs="Calibri"/>
      </w:rPr>
    </w:lvl>
    <w:lvl w:ilvl="1">
      <w:start w:val="1"/>
      <w:numFmt w:val="bullet"/>
      <w:lvlText w:val="o"/>
      <w:lvlJc w:val="left"/>
      <w:pPr>
        <w:ind w:left="1128" w:hanging="360"/>
      </w:pPr>
      <w:rPr>
        <w:rFonts w:ascii="Courier New" w:eastAsia="Courier New" w:hAnsi="Courier New" w:cs="Courier New"/>
      </w:rPr>
    </w:lvl>
    <w:lvl w:ilvl="2">
      <w:start w:val="1"/>
      <w:numFmt w:val="bullet"/>
      <w:lvlText w:val="▪"/>
      <w:lvlJc w:val="left"/>
      <w:pPr>
        <w:ind w:left="1848" w:hanging="360"/>
      </w:pPr>
      <w:rPr>
        <w:rFonts w:ascii="Noto Sans Symbols" w:eastAsia="Noto Sans Symbols" w:hAnsi="Noto Sans Symbols" w:cs="Noto Sans Symbols"/>
      </w:rPr>
    </w:lvl>
    <w:lvl w:ilvl="3">
      <w:start w:val="1"/>
      <w:numFmt w:val="bullet"/>
      <w:lvlText w:val="●"/>
      <w:lvlJc w:val="left"/>
      <w:pPr>
        <w:ind w:left="2568" w:hanging="360"/>
      </w:pPr>
      <w:rPr>
        <w:rFonts w:ascii="Noto Sans Symbols" w:eastAsia="Noto Sans Symbols" w:hAnsi="Noto Sans Symbols" w:cs="Noto Sans Symbols"/>
      </w:rPr>
    </w:lvl>
    <w:lvl w:ilvl="4">
      <w:start w:val="1"/>
      <w:numFmt w:val="bullet"/>
      <w:lvlText w:val="o"/>
      <w:lvlJc w:val="left"/>
      <w:pPr>
        <w:ind w:left="3288" w:hanging="360"/>
      </w:pPr>
      <w:rPr>
        <w:rFonts w:ascii="Courier New" w:eastAsia="Courier New" w:hAnsi="Courier New" w:cs="Courier New"/>
      </w:rPr>
    </w:lvl>
    <w:lvl w:ilvl="5">
      <w:start w:val="1"/>
      <w:numFmt w:val="bullet"/>
      <w:lvlText w:val="▪"/>
      <w:lvlJc w:val="left"/>
      <w:pPr>
        <w:ind w:left="4008" w:hanging="360"/>
      </w:pPr>
      <w:rPr>
        <w:rFonts w:ascii="Noto Sans Symbols" w:eastAsia="Noto Sans Symbols" w:hAnsi="Noto Sans Symbols" w:cs="Noto Sans Symbols"/>
      </w:rPr>
    </w:lvl>
    <w:lvl w:ilvl="6">
      <w:start w:val="1"/>
      <w:numFmt w:val="bullet"/>
      <w:lvlText w:val="●"/>
      <w:lvlJc w:val="left"/>
      <w:pPr>
        <w:ind w:left="4728" w:hanging="360"/>
      </w:pPr>
      <w:rPr>
        <w:rFonts w:ascii="Noto Sans Symbols" w:eastAsia="Noto Sans Symbols" w:hAnsi="Noto Sans Symbols" w:cs="Noto Sans Symbols"/>
      </w:rPr>
    </w:lvl>
    <w:lvl w:ilvl="7">
      <w:start w:val="1"/>
      <w:numFmt w:val="bullet"/>
      <w:lvlText w:val="o"/>
      <w:lvlJc w:val="left"/>
      <w:pPr>
        <w:ind w:left="5448" w:hanging="360"/>
      </w:pPr>
      <w:rPr>
        <w:rFonts w:ascii="Courier New" w:eastAsia="Courier New" w:hAnsi="Courier New" w:cs="Courier New"/>
      </w:rPr>
    </w:lvl>
    <w:lvl w:ilvl="8">
      <w:start w:val="1"/>
      <w:numFmt w:val="bullet"/>
      <w:lvlText w:val="▪"/>
      <w:lvlJc w:val="left"/>
      <w:pPr>
        <w:ind w:left="6168" w:hanging="360"/>
      </w:pPr>
      <w:rPr>
        <w:rFonts w:ascii="Noto Sans Symbols" w:eastAsia="Noto Sans Symbols" w:hAnsi="Noto Sans Symbols" w:cs="Noto Sans Symbols"/>
      </w:rPr>
    </w:lvl>
  </w:abstractNum>
  <w:abstractNum w:abstractNumId="15" w15:restartNumberingAfterBreak="0">
    <w:nsid w:val="76E1612E"/>
    <w:multiLevelType w:val="hybridMultilevel"/>
    <w:tmpl w:val="A23C5AA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4"/>
  </w:num>
  <w:num w:numId="4">
    <w:abstractNumId w:val="13"/>
  </w:num>
  <w:num w:numId="5">
    <w:abstractNumId w:val="2"/>
  </w:num>
  <w:num w:numId="6">
    <w:abstractNumId w:val="4"/>
  </w:num>
  <w:num w:numId="7">
    <w:abstractNumId w:val="12"/>
  </w:num>
  <w:num w:numId="8">
    <w:abstractNumId w:val="0"/>
  </w:num>
  <w:num w:numId="9">
    <w:abstractNumId w:val="8"/>
  </w:num>
  <w:num w:numId="10">
    <w:abstractNumId w:val="5"/>
  </w:num>
  <w:num w:numId="11">
    <w:abstractNumId w:val="15"/>
  </w:num>
  <w:num w:numId="12">
    <w:abstractNumId w:val="6"/>
  </w:num>
  <w:num w:numId="13">
    <w:abstractNumId w:val="10"/>
  </w:num>
  <w:num w:numId="14">
    <w:abstractNumId w:val="1"/>
    <w:lvlOverride w:ilvl="0">
      <w:lvl w:ilvl="0">
        <w:numFmt w:val="upperRoman"/>
        <w:lvlText w:val="%1."/>
        <w:lvlJc w:val="right"/>
      </w:lvl>
    </w:lvlOverride>
  </w:num>
  <w:num w:numId="15">
    <w:abstractNumId w:val="9"/>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D7D"/>
    <w:rsid w:val="00087F0C"/>
    <w:rsid w:val="000A7361"/>
    <w:rsid w:val="00155CB6"/>
    <w:rsid w:val="00166916"/>
    <w:rsid w:val="001E4FF0"/>
    <w:rsid w:val="002175C0"/>
    <w:rsid w:val="002C257B"/>
    <w:rsid w:val="00315FC5"/>
    <w:rsid w:val="00342914"/>
    <w:rsid w:val="003F1B69"/>
    <w:rsid w:val="00447C6F"/>
    <w:rsid w:val="00495746"/>
    <w:rsid w:val="00582C13"/>
    <w:rsid w:val="005A2EC3"/>
    <w:rsid w:val="005C4D7D"/>
    <w:rsid w:val="00613E30"/>
    <w:rsid w:val="00751870"/>
    <w:rsid w:val="007E7722"/>
    <w:rsid w:val="007F1505"/>
    <w:rsid w:val="007F244A"/>
    <w:rsid w:val="009614E7"/>
    <w:rsid w:val="00A032D6"/>
    <w:rsid w:val="00B65566"/>
    <w:rsid w:val="00DB68B0"/>
    <w:rsid w:val="00DC6CA5"/>
    <w:rsid w:val="00FC22B4"/>
    <w:rsid w:val="00FF328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247D0"/>
  <w15:docId w15:val="{F0FCD81C-9614-4BA8-AD59-8E542F667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3007"/>
  </w:style>
  <w:style w:type="paragraph" w:styleId="Heading1">
    <w:name w:val="heading 1"/>
    <w:basedOn w:val="Normal"/>
    <w:next w:val="Normal"/>
    <w:link w:val="Heading1Char"/>
    <w:uiPriority w:val="9"/>
    <w:qFormat/>
    <w:rsid w:val="00C132E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qFormat/>
    <w:rsid w:val="0049502B"/>
    <w:pPr>
      <w:keepNext/>
      <w:tabs>
        <w:tab w:val="left" w:pos="-180"/>
        <w:tab w:val="right" w:pos="1980"/>
        <w:tab w:val="left" w:pos="2160"/>
        <w:tab w:val="left" w:pos="4320"/>
      </w:tabs>
      <w:spacing w:after="0" w:line="240" w:lineRule="auto"/>
      <w:jc w:val="center"/>
      <w:outlineLvl w:val="1"/>
    </w:pPr>
    <w:rPr>
      <w:rFonts w:ascii="Times New Roman" w:eastAsia="Times New Roman" w:hAnsi="Times New Roman" w:cs="Times New Roman"/>
      <w:b/>
      <w:bCs/>
      <w:szCs w:val="20"/>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61CED"/>
    <w:pPr>
      <w:spacing w:after="0" w:line="240" w:lineRule="auto"/>
      <w:jc w:val="center"/>
    </w:pPr>
    <w:rPr>
      <w:rFonts w:ascii="Times New Roman" w:eastAsia="Times New Roman" w:hAnsi="Times New Roman" w:cs="Times New Roman"/>
      <w:b/>
      <w:bCs/>
      <w:sz w:val="24"/>
      <w:szCs w:val="20"/>
      <w:u w:val="single"/>
    </w:rPr>
  </w:style>
  <w:style w:type="table" w:customStyle="1" w:styleId="TableNormal1">
    <w:name w:val="Table Normal1"/>
    <w:tblPr>
      <w:tblCellMar>
        <w:top w:w="0" w:type="dxa"/>
        <w:left w:w="0" w:type="dxa"/>
        <w:bottom w:w="0" w:type="dxa"/>
        <w:right w:w="0" w:type="dxa"/>
      </w:tblCellMar>
    </w:tblPr>
  </w:style>
  <w:style w:type="table" w:customStyle="1" w:styleId="TableNormal10">
    <w:name w:val="Table Normal1"/>
    <w:tblPr>
      <w:tblCellMar>
        <w:top w:w="0" w:type="dxa"/>
        <w:left w:w="0" w:type="dxa"/>
        <w:bottom w:w="0" w:type="dxa"/>
        <w:right w:w="0" w:type="dxa"/>
      </w:tblCellMar>
    </w:tblPr>
  </w:style>
  <w:style w:type="character" w:styleId="Hyperlink">
    <w:name w:val="Hyperlink"/>
    <w:basedOn w:val="DefaultParagraphFont"/>
    <w:uiPriority w:val="99"/>
    <w:unhideWhenUsed/>
    <w:rsid w:val="000B6FE0"/>
    <w:rPr>
      <w:color w:val="0563C1" w:themeColor="hyperlink"/>
      <w:u w:val="single"/>
    </w:rPr>
  </w:style>
  <w:style w:type="paragraph" w:styleId="ListParagraph">
    <w:name w:val="List Paragraph"/>
    <w:basedOn w:val="Normal"/>
    <w:link w:val="ListParagraphChar"/>
    <w:uiPriority w:val="34"/>
    <w:qFormat/>
    <w:rsid w:val="00467972"/>
    <w:pPr>
      <w:ind w:left="720"/>
      <w:contextualSpacing/>
    </w:pPr>
  </w:style>
  <w:style w:type="paragraph" w:customStyle="1" w:styleId="Figure1">
    <w:name w:val="Figure_1"/>
    <w:link w:val="Figure1Char"/>
    <w:autoRedefine/>
    <w:rsid w:val="00DC2D29"/>
    <w:pPr>
      <w:overflowPunct w:val="0"/>
      <w:autoSpaceDE w:val="0"/>
      <w:autoSpaceDN w:val="0"/>
      <w:adjustRightInd w:val="0"/>
      <w:spacing w:before="60" w:after="60" w:line="240" w:lineRule="auto"/>
      <w:textAlignment w:val="baseline"/>
    </w:pPr>
    <w:rPr>
      <w:rFonts w:eastAsia="Times New Roman" w:cs="Times New Roman"/>
      <w:bCs/>
      <w:lang w:val="en-GB"/>
    </w:rPr>
  </w:style>
  <w:style w:type="character" w:customStyle="1" w:styleId="Figure1Char">
    <w:name w:val="Figure_1 Char"/>
    <w:link w:val="Figure1"/>
    <w:locked/>
    <w:rsid w:val="00DC2D29"/>
    <w:rPr>
      <w:rFonts w:ascii="Calibri" w:eastAsia="Times New Roman" w:hAnsi="Calibri" w:cs="Times New Roman"/>
      <w:bCs/>
      <w:lang w:val="en-GB"/>
    </w:rPr>
  </w:style>
  <w:style w:type="character" w:customStyle="1" w:styleId="Heading2Char">
    <w:name w:val="Heading 2 Char"/>
    <w:basedOn w:val="DefaultParagraphFont"/>
    <w:link w:val="Heading2"/>
    <w:rsid w:val="0049502B"/>
    <w:rPr>
      <w:rFonts w:ascii="Times New Roman" w:eastAsia="Times New Roman" w:hAnsi="Times New Roman" w:cs="Times New Roman"/>
      <w:b/>
      <w:bCs/>
      <w:szCs w:val="20"/>
    </w:rPr>
  </w:style>
  <w:style w:type="paragraph" w:customStyle="1" w:styleId="letter">
    <w:name w:val="letter"/>
    <w:basedOn w:val="Normal"/>
    <w:rsid w:val="0049502B"/>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pPr>
    <w:rPr>
      <w:rFonts w:ascii="Times New Roman" w:eastAsia="Times New Roman" w:hAnsi="Times New Roman" w:cs="Times New Roman"/>
      <w:sz w:val="24"/>
      <w:szCs w:val="20"/>
    </w:rPr>
  </w:style>
  <w:style w:type="character" w:customStyle="1" w:styleId="ListParagraphChar">
    <w:name w:val="List Paragraph Char"/>
    <w:link w:val="ListParagraph"/>
    <w:uiPriority w:val="34"/>
    <w:locked/>
    <w:rsid w:val="0049502B"/>
  </w:style>
  <w:style w:type="paragraph" w:styleId="Caption">
    <w:name w:val="caption"/>
    <w:basedOn w:val="Normal"/>
    <w:next w:val="Normal"/>
    <w:qFormat/>
    <w:rsid w:val="008750B0"/>
    <w:pPr>
      <w:spacing w:after="0" w:line="240" w:lineRule="auto"/>
      <w:jc w:val="center"/>
    </w:pPr>
    <w:rPr>
      <w:rFonts w:ascii="Times New Roman" w:eastAsia="Times New Roman" w:hAnsi="Times New Roman" w:cs="Times New Roman"/>
      <w:b/>
      <w:sz w:val="28"/>
      <w:szCs w:val="20"/>
    </w:rPr>
  </w:style>
  <w:style w:type="paragraph" w:styleId="Header">
    <w:name w:val="header"/>
    <w:basedOn w:val="Normal"/>
    <w:link w:val="HeaderChar"/>
    <w:unhideWhenUsed/>
    <w:rsid w:val="008750B0"/>
    <w:pPr>
      <w:tabs>
        <w:tab w:val="center" w:pos="4986"/>
        <w:tab w:val="right" w:pos="9973"/>
      </w:tabs>
      <w:spacing w:after="0" w:line="240" w:lineRule="auto"/>
    </w:pPr>
  </w:style>
  <w:style w:type="character" w:customStyle="1" w:styleId="HeaderChar">
    <w:name w:val="Header Char"/>
    <w:basedOn w:val="DefaultParagraphFont"/>
    <w:link w:val="Header"/>
    <w:rsid w:val="008750B0"/>
  </w:style>
  <w:style w:type="paragraph" w:styleId="Footer">
    <w:name w:val="footer"/>
    <w:basedOn w:val="Normal"/>
    <w:link w:val="FooterChar"/>
    <w:uiPriority w:val="99"/>
    <w:unhideWhenUsed/>
    <w:rsid w:val="008750B0"/>
    <w:pPr>
      <w:tabs>
        <w:tab w:val="center" w:pos="4986"/>
        <w:tab w:val="right" w:pos="9973"/>
      </w:tabs>
      <w:spacing w:after="0" w:line="240" w:lineRule="auto"/>
    </w:pPr>
  </w:style>
  <w:style w:type="character" w:customStyle="1" w:styleId="FooterChar">
    <w:name w:val="Footer Char"/>
    <w:basedOn w:val="DefaultParagraphFont"/>
    <w:link w:val="Footer"/>
    <w:uiPriority w:val="99"/>
    <w:rsid w:val="008750B0"/>
  </w:style>
  <w:style w:type="paragraph" w:styleId="BalloonText">
    <w:name w:val="Balloon Text"/>
    <w:basedOn w:val="Normal"/>
    <w:link w:val="BalloonTextChar"/>
    <w:rsid w:val="008750B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8750B0"/>
    <w:rPr>
      <w:rFonts w:ascii="Tahoma" w:eastAsia="Times New Roman" w:hAnsi="Tahoma" w:cs="Tahoma"/>
      <w:sz w:val="16"/>
      <w:szCs w:val="16"/>
    </w:rPr>
  </w:style>
  <w:style w:type="character" w:styleId="PlaceholderText">
    <w:name w:val="Placeholder Text"/>
    <w:uiPriority w:val="99"/>
    <w:semiHidden/>
    <w:rsid w:val="006C481D"/>
    <w:rPr>
      <w:color w:val="808080"/>
    </w:rPr>
  </w:style>
  <w:style w:type="character" w:customStyle="1" w:styleId="TitleChar">
    <w:name w:val="Title Char"/>
    <w:basedOn w:val="DefaultParagraphFont"/>
    <w:link w:val="Title"/>
    <w:rsid w:val="00661CED"/>
    <w:rPr>
      <w:rFonts w:ascii="Times New Roman" w:eastAsia="Times New Roman" w:hAnsi="Times New Roman" w:cs="Times New Roman"/>
      <w:b/>
      <w:bCs/>
      <w:sz w:val="24"/>
      <w:szCs w:val="20"/>
      <w:u w:val="single"/>
    </w:rPr>
  </w:style>
  <w:style w:type="character" w:customStyle="1" w:styleId="Heading1Char">
    <w:name w:val="Heading 1 Char"/>
    <w:basedOn w:val="DefaultParagraphFont"/>
    <w:link w:val="Heading1"/>
    <w:uiPriority w:val="9"/>
    <w:rsid w:val="00C132EF"/>
    <w:rPr>
      <w:rFonts w:asciiTheme="majorHAnsi" w:eastAsiaTheme="majorEastAsia" w:hAnsiTheme="majorHAnsi" w:cstheme="majorBidi"/>
      <w:color w:val="2E74B5" w:themeColor="accent1" w:themeShade="BF"/>
      <w:sz w:val="32"/>
      <w:szCs w:val="32"/>
    </w:rPr>
  </w:style>
  <w:style w:type="paragraph" w:styleId="CommentText">
    <w:name w:val="annotation text"/>
    <w:basedOn w:val="Normal"/>
    <w:link w:val="CommentTextChar"/>
    <w:uiPriority w:val="99"/>
    <w:semiHidden/>
    <w:unhideWhenUsed/>
    <w:rsid w:val="0034526D"/>
    <w:pPr>
      <w:overflowPunct w:val="0"/>
      <w:autoSpaceDE w:val="0"/>
      <w:autoSpaceDN w:val="0"/>
      <w:adjustRightInd w:val="0"/>
      <w:spacing w:after="0" w:line="240" w:lineRule="auto"/>
      <w:jc w:val="both"/>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34526D"/>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34526D"/>
    <w:rPr>
      <w:sz w:val="16"/>
      <w:szCs w:val="16"/>
    </w:rPr>
  </w:style>
  <w:style w:type="paragraph" w:styleId="CommentSubject">
    <w:name w:val="annotation subject"/>
    <w:basedOn w:val="CommentText"/>
    <w:next w:val="CommentText"/>
    <w:link w:val="CommentSubjectChar"/>
    <w:uiPriority w:val="99"/>
    <w:semiHidden/>
    <w:unhideWhenUsed/>
    <w:rsid w:val="00E47A88"/>
    <w:pPr>
      <w:overflowPunct/>
      <w:autoSpaceDE/>
      <w:autoSpaceDN/>
      <w:adjustRightInd/>
      <w:spacing w:after="160"/>
      <w:jc w:val="left"/>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E47A88"/>
    <w:rPr>
      <w:rFonts w:ascii="Times New Roman" w:eastAsia="Times New Roman" w:hAnsi="Times New Roman" w:cs="Times New Roman"/>
      <w:b/>
      <w:bCs/>
      <w:sz w:val="20"/>
      <w:szCs w:val="20"/>
    </w:rPr>
  </w:style>
  <w:style w:type="paragraph" w:styleId="FootnoteText">
    <w:name w:val="footnote text"/>
    <w:basedOn w:val="Normal"/>
    <w:link w:val="FootnoteTextChar"/>
    <w:uiPriority w:val="99"/>
    <w:semiHidden/>
    <w:unhideWhenUsed/>
    <w:rsid w:val="00AF518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F5185"/>
    <w:rPr>
      <w:sz w:val="20"/>
      <w:szCs w:val="20"/>
    </w:rPr>
  </w:style>
  <w:style w:type="character" w:styleId="FootnoteReference">
    <w:name w:val="footnote reference"/>
    <w:basedOn w:val="DefaultParagraphFont"/>
    <w:uiPriority w:val="99"/>
    <w:semiHidden/>
    <w:unhideWhenUsed/>
    <w:rsid w:val="00AF5185"/>
    <w:rPr>
      <w:vertAlign w:val="superscript"/>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0"/>
    <w:tblPr>
      <w:tblStyleRowBandSize w:val="1"/>
      <w:tblStyleColBandSize w:val="1"/>
      <w:tblCellMar>
        <w:left w:w="115" w:type="dxa"/>
        <w:right w:w="115" w:type="dxa"/>
      </w:tblCellMar>
    </w:tblPr>
  </w:style>
  <w:style w:type="table" w:customStyle="1" w:styleId="a0">
    <w:basedOn w:val="TableNormal10"/>
    <w:tblPr>
      <w:tblStyleRowBandSize w:val="1"/>
      <w:tblStyleColBandSize w:val="1"/>
      <w:tblCellMar>
        <w:left w:w="115" w:type="dxa"/>
        <w:right w:w="115" w:type="dxa"/>
      </w:tblCellMar>
    </w:tblPr>
  </w:style>
  <w:style w:type="table" w:customStyle="1" w:styleId="a1">
    <w:basedOn w:val="TableNormal10"/>
    <w:tblPr>
      <w:tblStyleRowBandSize w:val="1"/>
      <w:tblStyleColBandSize w:val="1"/>
    </w:tblPr>
  </w:style>
  <w:style w:type="table" w:customStyle="1" w:styleId="a2">
    <w:basedOn w:val="TableNormal10"/>
    <w:tblPr>
      <w:tblStyleRowBandSize w:val="1"/>
      <w:tblStyleColBandSize w:val="1"/>
      <w:tblCellMar>
        <w:left w:w="115" w:type="dxa"/>
        <w:right w:w="115" w:type="dxa"/>
      </w:tblCellMar>
    </w:tblPr>
  </w:style>
  <w:style w:type="table" w:customStyle="1" w:styleId="a3">
    <w:basedOn w:val="TableNormal10"/>
    <w:tblPr>
      <w:tblStyleRowBandSize w:val="1"/>
      <w:tblStyleColBandSize w:val="1"/>
      <w:tblCellMar>
        <w:left w:w="115" w:type="dxa"/>
        <w:right w:w="115" w:type="dxa"/>
      </w:tblCellMar>
    </w:tblPr>
  </w:style>
  <w:style w:type="table" w:customStyle="1" w:styleId="a4">
    <w:basedOn w:val="TableNormal10"/>
    <w:tblPr>
      <w:tblStyleRowBandSize w:val="1"/>
      <w:tblStyleColBandSize w:val="1"/>
      <w:tblCellMar>
        <w:left w:w="115" w:type="dxa"/>
        <w:right w:w="115" w:type="dxa"/>
      </w:tblCellMar>
    </w:tblPr>
  </w:style>
  <w:style w:type="table" w:customStyle="1" w:styleId="a5">
    <w:basedOn w:val="TableNormal10"/>
    <w:tblPr>
      <w:tblStyleRowBandSize w:val="1"/>
      <w:tblStyleColBandSize w:val="1"/>
      <w:tblCellMar>
        <w:left w:w="115" w:type="dxa"/>
        <w:right w:w="115" w:type="dxa"/>
      </w:tblCellMar>
    </w:tblPr>
  </w:style>
  <w:style w:type="table" w:customStyle="1" w:styleId="a6">
    <w:basedOn w:val="TableNormal10"/>
    <w:tblPr>
      <w:tblStyleRowBandSize w:val="1"/>
      <w:tblStyleColBandSize w:val="1"/>
      <w:tblCellMar>
        <w:left w:w="115" w:type="dxa"/>
        <w:right w:w="115" w:type="dxa"/>
      </w:tblCellMar>
    </w:tblPr>
  </w:style>
  <w:style w:type="paragraph" w:styleId="NormalWeb">
    <w:name w:val="Normal (Web)"/>
    <w:basedOn w:val="Normal"/>
    <w:uiPriority w:val="99"/>
    <w:unhideWhenUsed/>
    <w:rsid w:val="009D4CA4"/>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9D4C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pPr>
      <w:spacing w:after="0" w:line="240" w:lineRule="auto"/>
    </w:pPr>
    <w:tblPr>
      <w:tblStyleRowBandSize w:val="1"/>
      <w:tblStyleColBandSize w:val="1"/>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tblPr>
      <w:tblStyleRowBandSize w:val="1"/>
      <w:tblStyleColBandSize w:val="1"/>
      <w:tblCellMar>
        <w:left w:w="115" w:type="dxa"/>
        <w:right w:w="115" w:type="dxa"/>
      </w:tblCellMar>
    </w:tblPr>
  </w:style>
  <w:style w:type="table" w:customStyle="1" w:styleId="aff0">
    <w:basedOn w:val="TableNormal"/>
    <w:tblPr>
      <w:tblStyleRowBandSize w:val="1"/>
      <w:tblStyleColBandSize w:val="1"/>
      <w:tblCellMar>
        <w:left w:w="115" w:type="dxa"/>
        <w:right w:w="115" w:type="dxa"/>
      </w:tblCellMar>
    </w:tblPr>
  </w:style>
  <w:style w:type="table" w:customStyle="1" w:styleId="aff1">
    <w:basedOn w:val="TableNormal"/>
    <w:tblPr>
      <w:tblStyleRowBandSize w:val="1"/>
      <w:tblStyleColBandSize w:val="1"/>
      <w:tblCellMar>
        <w:left w:w="115" w:type="dxa"/>
        <w:right w:w="115" w:type="dxa"/>
      </w:tblCellMar>
    </w:tblPr>
  </w:style>
  <w:style w:type="table" w:customStyle="1" w:styleId="aff2">
    <w:basedOn w:val="TableNormal"/>
    <w:tblPr>
      <w:tblStyleRowBandSize w:val="1"/>
      <w:tblStyleColBandSize w:val="1"/>
      <w:tblCellMar>
        <w:left w:w="115" w:type="dxa"/>
        <w:right w:w="115" w:type="dxa"/>
      </w:tblCellMar>
    </w:tblPr>
  </w:style>
  <w:style w:type="table" w:customStyle="1" w:styleId="aff3">
    <w:basedOn w:val="TableNormal"/>
    <w:tblPr>
      <w:tblStyleRowBandSize w:val="1"/>
      <w:tblStyleColBandSize w:val="1"/>
      <w:tblCellMar>
        <w:left w:w="115" w:type="dxa"/>
        <w:right w:w="115" w:type="dxa"/>
      </w:tblCellMar>
    </w:tblPr>
  </w:style>
  <w:style w:type="table" w:customStyle="1" w:styleId="aff4">
    <w:basedOn w:val="TableNormal"/>
    <w:tblPr>
      <w:tblStyleRowBandSize w:val="1"/>
      <w:tblStyleColBandSize w:val="1"/>
      <w:tblCellMar>
        <w:left w:w="115" w:type="dxa"/>
        <w:right w:w="115" w:type="dxa"/>
      </w:tblCellMar>
    </w:tblPr>
  </w:style>
  <w:style w:type="table" w:customStyle="1" w:styleId="aff5">
    <w:basedOn w:val="TableNormal"/>
    <w:tblPr>
      <w:tblStyleRowBandSize w:val="1"/>
      <w:tblStyleColBandSize w:val="1"/>
      <w:tblCellMar>
        <w:left w:w="115" w:type="dxa"/>
        <w:right w:w="115" w:type="dxa"/>
      </w:tblCellMar>
    </w:tblPr>
  </w:style>
  <w:style w:type="table" w:customStyle="1" w:styleId="aff6">
    <w:basedOn w:val="TableNormal"/>
    <w:pPr>
      <w:spacing w:after="0" w:line="240" w:lineRule="auto"/>
    </w:pPr>
    <w:tblPr>
      <w:tblStyleRowBandSize w:val="1"/>
      <w:tblStyleColBandSize w:val="1"/>
      <w:tblCellMar>
        <w:left w:w="115" w:type="dxa"/>
        <w:right w:w="115" w:type="dxa"/>
      </w:tblCellMar>
    </w:tblPr>
  </w:style>
  <w:style w:type="table" w:customStyle="1" w:styleId="aff7">
    <w:basedOn w:val="TableNormal"/>
    <w:tblPr>
      <w:tblStyleRowBandSize w:val="1"/>
      <w:tblStyleColBandSize w:val="1"/>
      <w:tblCellMar>
        <w:left w:w="115" w:type="dxa"/>
        <w:right w:w="115" w:type="dxa"/>
      </w:tblCellMar>
    </w:tblPr>
  </w:style>
  <w:style w:type="table" w:customStyle="1" w:styleId="aff8">
    <w:basedOn w:val="TableNormal"/>
    <w:tblPr>
      <w:tblStyleRowBandSize w:val="1"/>
      <w:tblStyleColBandSize w:val="1"/>
      <w:tblCellMar>
        <w:left w:w="115" w:type="dxa"/>
        <w:right w:w="115" w:type="dxa"/>
      </w:tblCellMar>
    </w:tblPr>
  </w:style>
  <w:style w:type="table" w:customStyle="1" w:styleId="aff9">
    <w:basedOn w:val="TableNormal"/>
    <w:pPr>
      <w:spacing w:after="0" w:line="240" w:lineRule="auto"/>
    </w:pPr>
    <w:tblPr>
      <w:tblStyleRowBandSize w:val="1"/>
      <w:tblStyleColBandSize w:val="1"/>
      <w:tblCellMar>
        <w:left w:w="115" w:type="dxa"/>
        <w:right w:w="115" w:type="dxa"/>
      </w:tblCellMar>
    </w:tblPr>
  </w:style>
  <w:style w:type="table" w:customStyle="1" w:styleId="affa">
    <w:basedOn w:val="TableNormal"/>
    <w:pPr>
      <w:spacing w:after="0" w:line="240" w:lineRule="auto"/>
    </w:pPr>
    <w:tblPr>
      <w:tblStyleRowBandSize w:val="1"/>
      <w:tblStyleColBandSize w:val="1"/>
      <w:tblCellMar>
        <w:left w:w="115" w:type="dxa"/>
        <w:right w:w="115" w:type="dxa"/>
      </w:tblCellMar>
    </w:tblPr>
  </w:style>
  <w:style w:type="table" w:customStyle="1" w:styleId="affb">
    <w:basedOn w:val="TableNormal"/>
    <w:pPr>
      <w:spacing w:after="0" w:line="240" w:lineRule="auto"/>
    </w:pPr>
    <w:tblPr>
      <w:tblStyleRowBandSize w:val="1"/>
      <w:tblStyleColBandSize w:val="1"/>
      <w:tblCellMar>
        <w:left w:w="115" w:type="dxa"/>
        <w:right w:w="115" w:type="dxa"/>
      </w:tblCellMar>
    </w:tblPr>
  </w:style>
  <w:style w:type="table" w:customStyle="1" w:styleId="affc">
    <w:basedOn w:val="TableNormal"/>
    <w:pPr>
      <w:spacing w:after="0" w:line="240" w:lineRule="auto"/>
    </w:pPr>
    <w:tblPr>
      <w:tblStyleRowBandSize w:val="1"/>
      <w:tblStyleColBandSize w:val="1"/>
      <w:tblCellMar>
        <w:left w:w="115" w:type="dxa"/>
        <w:right w:w="115" w:type="dxa"/>
      </w:tblCellMar>
    </w:tblPr>
  </w:style>
  <w:style w:type="table" w:customStyle="1" w:styleId="affd">
    <w:basedOn w:val="TableNormal"/>
    <w:pPr>
      <w:spacing w:after="0" w:line="240" w:lineRule="auto"/>
    </w:pPr>
    <w:tblPr>
      <w:tblStyleRowBandSize w:val="1"/>
      <w:tblStyleColBandSize w:val="1"/>
      <w:tblCellMar>
        <w:left w:w="115" w:type="dxa"/>
        <w:right w:w="115" w:type="dxa"/>
      </w:tblCellMar>
    </w:tblPr>
  </w:style>
  <w:style w:type="table" w:customStyle="1" w:styleId="affe">
    <w:basedOn w:val="TableNormal"/>
    <w:pPr>
      <w:spacing w:after="0" w:line="240" w:lineRule="auto"/>
    </w:pPr>
    <w:tblPr>
      <w:tblStyleRowBandSize w:val="1"/>
      <w:tblStyleColBandSize w:val="1"/>
      <w:tblCellMar>
        <w:left w:w="115" w:type="dxa"/>
        <w:right w:w="115" w:type="dxa"/>
      </w:tblCellMar>
    </w:tblPr>
  </w:style>
  <w:style w:type="table" w:customStyle="1" w:styleId="afff">
    <w:basedOn w:val="TableNormal"/>
    <w:pPr>
      <w:spacing w:after="0" w:line="240" w:lineRule="auto"/>
    </w:pPr>
    <w:tblPr>
      <w:tblStyleRowBandSize w:val="1"/>
      <w:tblStyleColBandSize w:val="1"/>
      <w:tblCellMar>
        <w:left w:w="115" w:type="dxa"/>
        <w:right w:w="115" w:type="dxa"/>
      </w:tblCellMar>
    </w:tblPr>
  </w:style>
  <w:style w:type="table" w:customStyle="1" w:styleId="afff0">
    <w:basedOn w:val="TableNormal"/>
    <w:pPr>
      <w:spacing w:after="0" w:line="240" w:lineRule="auto"/>
    </w:pPr>
    <w:tblPr>
      <w:tblStyleRowBandSize w:val="1"/>
      <w:tblStyleColBandSize w:val="1"/>
      <w:tblCellMar>
        <w:left w:w="115" w:type="dxa"/>
        <w:right w:w="115" w:type="dxa"/>
      </w:tblCellMar>
    </w:tblPr>
  </w:style>
  <w:style w:type="table" w:customStyle="1" w:styleId="afff1">
    <w:basedOn w:val="TableNormal"/>
    <w:pPr>
      <w:spacing w:after="0" w:line="240" w:lineRule="auto"/>
    </w:pPr>
    <w:tblPr>
      <w:tblStyleRowBandSize w:val="1"/>
      <w:tblStyleColBandSize w:val="1"/>
      <w:tblCellMar>
        <w:left w:w="115" w:type="dxa"/>
        <w:right w:w="115" w:type="dxa"/>
      </w:tblCellMar>
    </w:tblPr>
  </w:style>
  <w:style w:type="table" w:customStyle="1" w:styleId="afff2">
    <w:basedOn w:val="TableNormal"/>
    <w:pPr>
      <w:spacing w:after="0" w:line="240" w:lineRule="auto"/>
    </w:pPr>
    <w:tblPr>
      <w:tblStyleRowBandSize w:val="1"/>
      <w:tblStyleColBandSize w:val="1"/>
      <w:tblCellMar>
        <w:left w:w="115" w:type="dxa"/>
        <w:right w:w="115" w:type="dxa"/>
      </w:tblCellMar>
    </w:tblPr>
  </w:style>
  <w:style w:type="table" w:customStyle="1" w:styleId="afff3">
    <w:basedOn w:val="TableNormal"/>
    <w:pPr>
      <w:spacing w:after="0" w:line="240" w:lineRule="auto"/>
    </w:pPr>
    <w:tblPr>
      <w:tblStyleRowBandSize w:val="1"/>
      <w:tblStyleColBandSize w:val="1"/>
      <w:tblCellMar>
        <w:left w:w="115" w:type="dxa"/>
        <w:right w:w="115" w:type="dxa"/>
      </w:tblCellMar>
    </w:tblPr>
  </w:style>
  <w:style w:type="table" w:customStyle="1" w:styleId="afff4">
    <w:basedOn w:val="TableNormal"/>
    <w:pPr>
      <w:spacing w:after="0" w:line="240" w:lineRule="auto"/>
    </w:pPr>
    <w:tblPr>
      <w:tblStyleRowBandSize w:val="1"/>
      <w:tblStyleColBandSize w:val="1"/>
      <w:tblCellMar>
        <w:left w:w="115" w:type="dxa"/>
        <w:right w:w="115" w:type="dxa"/>
      </w:tblCellMar>
    </w:tblPr>
  </w:style>
  <w:style w:type="table" w:customStyle="1" w:styleId="afff5">
    <w:basedOn w:val="TableNormal"/>
    <w:pPr>
      <w:spacing w:after="0" w:line="240" w:lineRule="auto"/>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74212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treasury.un.org" TargetMode="External"/><Relationship Id="rId13" Type="http://schemas.openxmlformats.org/officeDocument/2006/relationships/hyperlink" Target="mailto:kompaniiets@unfpa.org"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nfpa.org/about-procurement" TargetMode="External"/><Relationship Id="rId17" Type="http://schemas.openxmlformats.org/officeDocument/2006/relationships/hyperlink" Target="http://www.unfpa.org/sites/default/files/resource-pdf/UNFPA%20General%20Conditions%20-%20De%20Minimis%20Contracts%20FR_0.pdf" TargetMode="External"/><Relationship Id="rId2" Type="http://schemas.openxmlformats.org/officeDocument/2006/relationships/numbering" Target="numbering.xml"/><Relationship Id="rId16" Type="http://schemas.openxmlformats.org/officeDocument/2006/relationships/hyperlink" Target="http://www.unfpa.org/sites/default/files/resource-pdf/UNFPA%20General%20Conditions%20-%20De%20Minimis%20Contracts%20SP_0.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eb2.unfpa.org/help/hotline.cfm" TargetMode="External"/><Relationship Id="rId5" Type="http://schemas.openxmlformats.org/officeDocument/2006/relationships/webSettings" Target="webSettings.xml"/><Relationship Id="rId15" Type="http://schemas.openxmlformats.org/officeDocument/2006/relationships/hyperlink" Target="http://www.unfpa.org/resources/unfpa-general-conditions-de-minimis-contracts" TargetMode="External"/><Relationship Id="rId10" Type="http://schemas.openxmlformats.org/officeDocument/2006/relationships/hyperlink" Target="http://www.unfpa.org/resources/fraud-policy-2009"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nfpa.org/about-procurement" TargetMode="External"/><Relationship Id="rId14" Type="http://schemas.openxmlformats.org/officeDocument/2006/relationships/hyperlink" Target="mailto:procurement@unfp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eBwQ/Hq3AamqdTWn+FIt9h/8yw==">AMUW2mUXyBbPYl0IFzXFwBh7v01EE7t9Z5TaLMZOH9LQSyw4HJL2I0NGXcByY59rVA05Fv32c4tKYObbUdwPl8tFF4WH6QJW/8aBRfKgliRcdH2botyV2gTbqRoBf4KAiaQu0P4GCC2Movd/KyqexhAJOfOLz5sFitacoNFT3SkWOWBBgf0DMmM=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2782</Words>
  <Characters>15861</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Nadiia Kovalevych</dc:creator>
  <cp:lastModifiedBy>Microsoft account</cp:lastModifiedBy>
  <cp:revision>2</cp:revision>
  <dcterms:created xsi:type="dcterms:W3CDTF">2022-07-18T13:30:00Z</dcterms:created>
  <dcterms:modified xsi:type="dcterms:W3CDTF">2022-07-18T13:30:00Z</dcterms:modified>
</cp:coreProperties>
</file>