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66" w:rsidRDefault="001B1A66" w:rsidP="00026894">
      <w:pPr>
        <w:tabs>
          <w:tab w:val="left" w:pos="5400"/>
        </w:tabs>
        <w:spacing w:after="0" w:line="240" w:lineRule="auto"/>
        <w:jc w:val="right"/>
      </w:pPr>
    </w:p>
    <w:p w:rsidR="00026894" w:rsidRPr="001B1A66" w:rsidRDefault="00026894" w:rsidP="00026894">
      <w:pPr>
        <w:tabs>
          <w:tab w:val="left" w:pos="5400"/>
        </w:tabs>
        <w:spacing w:after="0" w:line="240" w:lineRule="auto"/>
        <w:jc w:val="right"/>
        <w:rPr>
          <w:lang w:val="en-US"/>
        </w:rPr>
      </w:pPr>
      <w:r>
        <w:t xml:space="preserve">Date:  </w:t>
      </w:r>
      <w:r w:rsidR="00BF48CC">
        <w:rPr>
          <w:lang w:val="en-US"/>
        </w:rPr>
        <w:t>14</w:t>
      </w:r>
      <w:r>
        <w:t xml:space="preserve"> January </w:t>
      </w:r>
      <w:r w:rsidR="001B1A66">
        <w:t xml:space="preserve"> 20</w:t>
      </w:r>
      <w:r w:rsidR="001B1A66">
        <w:rPr>
          <w:lang w:val="en-US"/>
        </w:rPr>
        <w:t>20</w:t>
      </w:r>
    </w:p>
    <w:p w:rsidR="00026894" w:rsidRDefault="00026894" w:rsidP="00026894">
      <w:pPr>
        <w:tabs>
          <w:tab w:val="left" w:pos="-180"/>
          <w:tab w:val="right" w:pos="1980"/>
          <w:tab w:val="left" w:pos="2160"/>
          <w:tab w:val="left" w:pos="4320"/>
        </w:tabs>
        <w:spacing w:after="0" w:line="240" w:lineRule="auto"/>
        <w:rPr>
          <w:b/>
        </w:rPr>
      </w:pPr>
      <w:r>
        <w:rPr>
          <w:b/>
        </w:rPr>
        <w:t>Authorized by:</w:t>
      </w:r>
    </w:p>
    <w:p w:rsidR="00026894" w:rsidRDefault="00026894" w:rsidP="00026894">
      <w:pPr>
        <w:tabs>
          <w:tab w:val="left" w:pos="-180"/>
          <w:tab w:val="right" w:pos="1980"/>
          <w:tab w:val="left" w:pos="2160"/>
          <w:tab w:val="left" w:pos="4320"/>
        </w:tabs>
        <w:spacing w:after="0" w:line="240" w:lineRule="auto"/>
        <w:rPr>
          <w:b/>
        </w:rPr>
      </w:pPr>
    </w:p>
    <w:p w:rsidR="00026894" w:rsidRDefault="00026894" w:rsidP="00026894">
      <w:pPr>
        <w:tabs>
          <w:tab w:val="left" w:pos="-180"/>
          <w:tab w:val="right" w:pos="1980"/>
          <w:tab w:val="left" w:pos="2160"/>
          <w:tab w:val="left" w:pos="4320"/>
        </w:tabs>
        <w:spacing w:after="0" w:line="240" w:lineRule="auto"/>
        <w:rPr>
          <w:b/>
        </w:rPr>
      </w:pPr>
      <w:r>
        <w:rPr>
          <w:b/>
        </w:rPr>
        <w:t>_____________________________________</w:t>
      </w:r>
    </w:p>
    <w:p w:rsidR="00026894" w:rsidRDefault="00026894" w:rsidP="00026894">
      <w:pPr>
        <w:tabs>
          <w:tab w:val="left" w:pos="-180"/>
          <w:tab w:val="right" w:pos="1980"/>
          <w:tab w:val="left" w:pos="2160"/>
          <w:tab w:val="left" w:pos="4320"/>
        </w:tabs>
        <w:spacing w:after="0" w:line="240" w:lineRule="auto"/>
        <w:rPr>
          <w:b/>
        </w:rPr>
      </w:pPr>
      <w:r>
        <w:rPr>
          <w:b/>
        </w:rPr>
        <w:t>Jaime Nadal</w:t>
      </w:r>
    </w:p>
    <w:p w:rsidR="00026894" w:rsidRDefault="00026894" w:rsidP="00026894">
      <w:pPr>
        <w:tabs>
          <w:tab w:val="left" w:pos="-180"/>
          <w:tab w:val="right" w:pos="1980"/>
          <w:tab w:val="left" w:pos="2160"/>
          <w:tab w:val="left" w:pos="4320"/>
        </w:tabs>
        <w:spacing w:after="0" w:line="240" w:lineRule="auto"/>
        <w:rPr>
          <w:b/>
        </w:rPr>
      </w:pPr>
      <w:r>
        <w:rPr>
          <w:b/>
        </w:rPr>
        <w:t xml:space="preserve">UNFPA Representative </w:t>
      </w:r>
    </w:p>
    <w:p w:rsidR="00026894" w:rsidRDefault="00026894" w:rsidP="00026894">
      <w:pPr>
        <w:spacing w:after="0" w:line="240" w:lineRule="auto"/>
        <w:jc w:val="center"/>
        <w:rPr>
          <w:b/>
        </w:rPr>
      </w:pPr>
    </w:p>
    <w:p w:rsidR="00026894" w:rsidRDefault="00026894" w:rsidP="00026894">
      <w:pPr>
        <w:spacing w:after="0" w:line="240" w:lineRule="auto"/>
        <w:jc w:val="center"/>
        <w:rPr>
          <w:b/>
        </w:rPr>
      </w:pPr>
      <w:r>
        <w:rPr>
          <w:b/>
        </w:rPr>
        <w:t xml:space="preserve">REQUEST FOR QUOTATION </w:t>
      </w:r>
    </w:p>
    <w:p w:rsidR="00026894" w:rsidRPr="001B1A66" w:rsidRDefault="00026894" w:rsidP="00026894">
      <w:pPr>
        <w:spacing w:after="0" w:line="240" w:lineRule="auto"/>
        <w:jc w:val="center"/>
        <w:rPr>
          <w:b/>
          <w:lang w:val="en-US"/>
        </w:rPr>
      </w:pPr>
      <w:r>
        <w:rPr>
          <w:b/>
        </w:rPr>
        <w:t>RFQ Nº UNFPA/UKR/RFQ/20/</w:t>
      </w:r>
      <w:r w:rsidR="001B1A66">
        <w:rPr>
          <w:b/>
          <w:lang w:val="en-US"/>
        </w:rPr>
        <w:t>03</w:t>
      </w:r>
    </w:p>
    <w:p w:rsidR="00026894" w:rsidRDefault="00026894" w:rsidP="00026894">
      <w:pPr>
        <w:spacing w:after="0" w:line="240" w:lineRule="auto"/>
        <w:jc w:val="center"/>
      </w:pP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
        <w:t>Dear Sir/Madam,</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p w:rsidR="00026894" w:rsidRDefault="00026894" w:rsidP="00026894">
      <w:pPr>
        <w:spacing w:after="0" w:line="240" w:lineRule="auto"/>
        <w:jc w:val="both"/>
        <w:rPr>
          <w:b/>
          <w:color w:val="FF0000"/>
        </w:rPr>
      </w:pPr>
      <w:r>
        <w:t xml:space="preserve">UNFPA hereby solicits a quotation for the following service: </w:t>
      </w:r>
      <w:r>
        <w:rPr>
          <w:b/>
        </w:rPr>
        <w:t>Production of video</w:t>
      </w:r>
      <w:r w:rsidR="00A15EED">
        <w:rPr>
          <w:b/>
        </w:rPr>
        <w:t xml:space="preserve"> </w:t>
      </w:r>
      <w:r w:rsidR="00A15EED">
        <w:rPr>
          <w:b/>
          <w:lang w:val="en-US"/>
        </w:rPr>
        <w:t>clips and</w:t>
      </w:r>
      <w:r>
        <w:rPr>
          <w:b/>
        </w:rPr>
        <w:t xml:space="preserve"> </w:t>
      </w:r>
      <w:r w:rsidR="00A15EED">
        <w:rPr>
          <w:b/>
          <w:lang w:val="en-US"/>
        </w:rPr>
        <w:t xml:space="preserve">infographic images </w:t>
      </w:r>
      <w:r>
        <w:rPr>
          <w:b/>
        </w:rPr>
        <w:t>for International Forum on GBV response</w:t>
      </w:r>
    </w:p>
    <w:p w:rsidR="00026894" w:rsidRDefault="00026894" w:rsidP="00026894">
      <w:pPr>
        <w:spacing w:after="0" w:line="240" w:lineRule="auto"/>
        <w:jc w:val="both"/>
        <w:rPr>
          <w:b/>
        </w:rPr>
      </w:pPr>
    </w:p>
    <w:p w:rsidR="00026894" w:rsidRDefault="00026894" w:rsidP="00026894">
      <w:pPr>
        <w:spacing w:after="0" w:line="240" w:lineRule="auto"/>
        <w:jc w:val="both"/>
      </w:pPr>
      <w:r>
        <w:t>This Request for Quotation is open to all legally constituted companies that can provide the requested services and have legal capacity to perform in Ukraine, or through an authorized representative.</w:t>
      </w:r>
    </w:p>
    <w:p w:rsidR="00026894" w:rsidRDefault="00026894" w:rsidP="00026894">
      <w:pPr>
        <w:spacing w:after="0" w:line="240" w:lineRule="auto"/>
      </w:pPr>
    </w:p>
    <w:p w:rsidR="00026894" w:rsidRDefault="00026894" w:rsidP="00BF48CC">
      <w:pPr>
        <w:spacing w:after="0" w:line="240" w:lineRule="auto"/>
        <w:ind w:left="360"/>
        <w:jc w:val="both"/>
        <w:rPr>
          <w:b/>
        </w:rPr>
      </w:pPr>
      <w:r>
        <w:rPr>
          <w:b/>
        </w:rPr>
        <w:t>About UNFPA</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ab/>
        <w:t xml:space="preserve">UNFPA, the United Nations Population Fund (UNFPA), is an international development agency that </w:t>
      </w:r>
      <w:r>
        <w:rPr>
          <w:shd w:val="clear" w:color="auto" w:fill="FFFFFF"/>
        </w:rPr>
        <w:t>works to deliver a world where every pregnancy is wanted, every childbirth is safe and every young person’s potential is fulfilled.</w:t>
      </w:r>
      <w:r>
        <w:t xml:space="preserve">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ab/>
        <w:t>UNFPA is the lead UN agency th</w:t>
      </w:r>
      <w:r>
        <w:rPr>
          <w:shd w:val="clear" w:color="auto" w:fill="FFFFFF"/>
        </w:rPr>
        <w:t>at expands the possibilities for women and young people to lead healthy sexual and reproductive lives.</w:t>
      </w:r>
      <w:r>
        <w:t xml:space="preserve"> To read more about UNFPA, please go to: </w:t>
      </w:r>
      <w:hyperlink r:id="rId9">
        <w:r>
          <w:rPr>
            <w:color w:val="0070C0"/>
            <w:u w:val="single"/>
          </w:rPr>
          <w:t>UNFPA about us</w:t>
        </w:r>
      </w:hyperlink>
      <w:r>
        <w:rPr>
          <w:color w:val="0070C0"/>
          <w:u w:val="single"/>
        </w:rPr>
        <w:t>.</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rsidR="00026894" w:rsidRDefault="00026894" w:rsidP="00026894">
      <w:pPr>
        <w:spacing w:after="0" w:line="240" w:lineRule="auto"/>
        <w:jc w:val="both"/>
        <w:rPr>
          <w:b/>
        </w:rPr>
      </w:pPr>
      <w:r>
        <w:rPr>
          <w:b/>
        </w:rPr>
        <w:t>Terms of Reference (ToR)</w:t>
      </w:r>
    </w:p>
    <w:p w:rsidR="00026894" w:rsidRDefault="00026894" w:rsidP="00026894">
      <w:pPr>
        <w:spacing w:after="0" w:line="240" w:lineRule="auto"/>
        <w:jc w:val="both"/>
        <w:rPr>
          <w:b/>
          <w:shd w:val="clear" w:color="auto" w:fill="00FFFF"/>
        </w:rPr>
      </w:pPr>
    </w:p>
    <w:p w:rsidR="00026894" w:rsidRDefault="00026894" w:rsidP="00026894">
      <w:pPr>
        <w:spacing w:after="0" w:line="240" w:lineRule="auto"/>
        <w:jc w:val="both"/>
        <w:rPr>
          <w:b/>
          <w:color w:val="000000"/>
        </w:rPr>
      </w:pPr>
      <w:r>
        <w:rPr>
          <w:b/>
          <w:color w:val="000000"/>
        </w:rPr>
        <w:t xml:space="preserve">Background </w:t>
      </w:r>
    </w:p>
    <w:p w:rsidR="00026894" w:rsidRDefault="00026894" w:rsidP="00026894">
      <w:pPr>
        <w:spacing w:after="0" w:line="240" w:lineRule="auto"/>
        <w:jc w:val="both"/>
      </w:pPr>
      <w:r w:rsidRPr="00265D2A">
        <w:t>Over the last 5 years, Ukraine has made considerable progress in developing its systems of response</w:t>
      </w:r>
      <w:r>
        <w:t xml:space="preserve"> to GBV. </w:t>
      </w:r>
      <w:r w:rsidRPr="00265D2A">
        <w:t>Addressing the needs of conflict-affected population in th</w:t>
      </w:r>
      <w:r>
        <w:t xml:space="preserve">e midst of humanitarian crisis, innovative models of </w:t>
      </w:r>
      <w:r w:rsidRPr="00265D2A">
        <w:t>service provision were set up. Throu</w:t>
      </w:r>
      <w:r>
        <w:t xml:space="preserve">gh operation of mobile teams of </w:t>
      </w:r>
      <w:r w:rsidRPr="00265D2A">
        <w:t>psychosocial support, shelters and health care service delivery points</w:t>
      </w:r>
      <w:r>
        <w:t xml:space="preserve">, thousands of GBV survivors in </w:t>
      </w:r>
      <w:r w:rsidRPr="00265D2A">
        <w:t>conflict-affected regions received assess to crucial psychological ass</w:t>
      </w:r>
      <w:r>
        <w:t xml:space="preserve">istance, safe space and medical </w:t>
      </w:r>
      <w:r w:rsidRPr="00265D2A">
        <w:t>services. Initially launched as short-term solutions, GBV response se</w:t>
      </w:r>
      <w:r>
        <w:t xml:space="preserve">rvices gradually became a model </w:t>
      </w:r>
      <w:r w:rsidRPr="00265D2A">
        <w:t>for replication nationally.</w:t>
      </w:r>
    </w:p>
    <w:p w:rsidR="00026894" w:rsidRPr="00265D2A" w:rsidRDefault="00026894" w:rsidP="00026894">
      <w:pPr>
        <w:spacing w:after="0" w:line="240" w:lineRule="auto"/>
        <w:jc w:val="both"/>
      </w:pPr>
    </w:p>
    <w:p w:rsidR="00026894" w:rsidRDefault="00026894" w:rsidP="00026894">
      <w:pPr>
        <w:spacing w:after="0" w:line="240" w:lineRule="auto"/>
        <w:jc w:val="both"/>
      </w:pPr>
      <w:r w:rsidRPr="00265D2A">
        <w:t>Informing about available services and challenging stereotypes about GBV, national awarene</w:t>
      </w:r>
      <w:r>
        <w:t xml:space="preserve">ss- raising </w:t>
      </w:r>
      <w:r w:rsidRPr="00265D2A">
        <w:t>campaign “Break the Circle” brought GBV out of darkness of</w:t>
      </w:r>
      <w:r>
        <w:t xml:space="preserve"> silent acceptance in Ukrainian </w:t>
      </w:r>
      <w:r w:rsidRPr="00265D2A">
        <w:t>society.</w:t>
      </w:r>
    </w:p>
    <w:p w:rsidR="00026894" w:rsidRPr="00265D2A" w:rsidRDefault="00026894" w:rsidP="00026894">
      <w:pPr>
        <w:spacing w:after="0" w:line="240" w:lineRule="auto"/>
        <w:jc w:val="both"/>
      </w:pPr>
    </w:p>
    <w:p w:rsidR="00026894" w:rsidRDefault="00026894" w:rsidP="00026894">
      <w:pPr>
        <w:spacing w:after="0" w:line="240" w:lineRule="auto"/>
        <w:jc w:val="both"/>
      </w:pPr>
      <w:r w:rsidRPr="00265D2A">
        <w:t>Adoption of Law on Prevention and Combatting of Domestic Viol</w:t>
      </w:r>
      <w:r>
        <w:t xml:space="preserve">ence and relevant amendments to the </w:t>
      </w:r>
      <w:r w:rsidRPr="00265D2A">
        <w:t xml:space="preserve">Criminal Code criminalized domestic violence and put Ukrainian </w:t>
      </w:r>
      <w:r>
        <w:t xml:space="preserve">legislation closer in line with </w:t>
      </w:r>
      <w:r w:rsidRPr="00265D2A">
        <w:t>international standards. The laws set the essential framework for de</w:t>
      </w:r>
      <w:r>
        <w:t xml:space="preserve">veloping the national system of </w:t>
      </w:r>
      <w:r w:rsidRPr="00265D2A">
        <w:t>GBV response and prevention.</w:t>
      </w:r>
    </w:p>
    <w:p w:rsidR="00026894" w:rsidRDefault="00026894" w:rsidP="00026894">
      <w:pPr>
        <w:spacing w:after="0" w:line="240" w:lineRule="auto"/>
        <w:jc w:val="both"/>
      </w:pPr>
    </w:p>
    <w:p w:rsidR="00026894" w:rsidRPr="00265D2A" w:rsidRDefault="00026894" w:rsidP="00026894">
      <w:pPr>
        <w:spacing w:after="0" w:line="240" w:lineRule="auto"/>
        <w:jc w:val="both"/>
      </w:pPr>
      <w:r>
        <w:t xml:space="preserve">One of the objectives is to present </w:t>
      </w:r>
      <w:r w:rsidRPr="00265D2A">
        <w:t>best practice in GBV response and prevention wor</w:t>
      </w:r>
      <w:r>
        <w:t xml:space="preserve">k, including services provision </w:t>
      </w:r>
      <w:r w:rsidRPr="00265D2A">
        <w:t>models, multi-sectoral response and coordination.</w:t>
      </w:r>
    </w:p>
    <w:p w:rsidR="00026894" w:rsidRDefault="00026894" w:rsidP="00026894">
      <w:pPr>
        <w:spacing w:after="0" w:line="240" w:lineRule="auto"/>
      </w:pPr>
    </w:p>
    <w:p w:rsidR="00026894" w:rsidRDefault="00026894" w:rsidP="00026894">
      <w:pPr>
        <w:spacing w:after="0" w:line="240" w:lineRule="auto"/>
        <w:rPr>
          <w:b/>
        </w:rPr>
      </w:pPr>
      <w:r w:rsidRPr="003060CB">
        <w:rPr>
          <w:b/>
        </w:rPr>
        <w:t>Purpose</w:t>
      </w:r>
    </w:p>
    <w:p w:rsidR="00026894" w:rsidRDefault="00026894" w:rsidP="00026894">
      <w:pPr>
        <w:spacing w:after="0" w:line="240" w:lineRule="auto"/>
        <w:jc w:val="both"/>
      </w:pPr>
      <w:r>
        <w:t>UNFPA Ukraine is inviting proposals from reputable and qualified suppliers with a track record of success in producing digital communication products. We are looking for suppliers who can provide high-quality video with with infographic and smart design within “Break the Circle” branding. We are seeking to enter into short-term agreements with suppliers that are committed to delivering services to UNFPA. Selected service provider will work under the direction of the UNFPA Communication and Advocacy Associate.</w:t>
      </w:r>
    </w:p>
    <w:p w:rsidR="00026894" w:rsidRDefault="00026894" w:rsidP="00026894">
      <w:pPr>
        <w:spacing w:after="0" w:line="240" w:lineRule="auto"/>
        <w:jc w:val="both"/>
        <w:rPr>
          <w:rFonts w:ascii="Times New Roman" w:eastAsia="Times New Roman" w:hAnsi="Times New Roman" w:cs="Times New Roman"/>
          <w:sz w:val="24"/>
        </w:rPr>
      </w:pPr>
    </w:p>
    <w:p w:rsidR="00026894" w:rsidRPr="001B1A66" w:rsidRDefault="00026894" w:rsidP="00026894">
      <w:pPr>
        <w:spacing w:after="0" w:line="240" w:lineRule="auto"/>
        <w:jc w:val="both"/>
        <w:rPr>
          <w:rFonts w:asciiTheme="minorHAnsi" w:eastAsia="Times New Roman" w:hAnsiTheme="minorHAnsi" w:cstheme="minorHAnsi"/>
          <w:b/>
          <w:sz w:val="24"/>
        </w:rPr>
      </w:pPr>
      <w:r w:rsidRPr="001B1A66">
        <w:rPr>
          <w:rFonts w:asciiTheme="minorHAnsi" w:eastAsia="Times New Roman" w:hAnsiTheme="minorHAnsi" w:cstheme="minorHAnsi"/>
          <w:b/>
        </w:rPr>
        <w:t>Objectives</w:t>
      </w:r>
    </w:p>
    <w:p w:rsidR="00026894" w:rsidRDefault="00026894" w:rsidP="00026894">
      <w:pPr>
        <w:spacing w:before="100" w:after="100" w:line="240" w:lineRule="auto"/>
        <w:jc w:val="both"/>
      </w:pPr>
      <w:r>
        <w:t xml:space="preserve">The selected service provider will be expected:   </w:t>
      </w:r>
    </w:p>
    <w:p w:rsidR="00026894" w:rsidRPr="001101D1" w:rsidRDefault="00026894" w:rsidP="00026894">
      <w:pPr>
        <w:pStyle w:val="ListParagraph"/>
        <w:numPr>
          <w:ilvl w:val="0"/>
          <w:numId w:val="27"/>
        </w:numPr>
        <w:spacing w:after="0" w:line="240" w:lineRule="auto"/>
        <w:jc w:val="both"/>
      </w:pPr>
      <w:r w:rsidRPr="001101D1">
        <w:t>To develop 8 infographics for printing and social media use that explain the work of services provision models, summarizes key milestones and achievements in developing national and local systems of GBV response and prevention, describe</w:t>
      </w:r>
      <w:r>
        <w:t>s</w:t>
      </w:r>
      <w:r w:rsidRPr="001101D1">
        <w:t xml:space="preserve"> the “Break the Circle campaign” - its milestones, results and key events.</w:t>
      </w:r>
    </w:p>
    <w:p w:rsidR="00026894" w:rsidRDefault="001B1A66" w:rsidP="00026894">
      <w:pPr>
        <w:pStyle w:val="ListParagraph"/>
        <w:numPr>
          <w:ilvl w:val="0"/>
          <w:numId w:val="27"/>
        </w:numPr>
        <w:spacing w:before="100" w:after="100" w:line="240" w:lineRule="auto"/>
        <w:jc w:val="both"/>
      </w:pPr>
      <w:r>
        <w:t>To produce</w:t>
      </w:r>
      <w:r w:rsidR="00026894">
        <w:t xml:space="preserve"> 8 videos based on the infographic style and visual elements with voiceover and subtitles</w:t>
      </w:r>
      <w:r w:rsidR="0095374C">
        <w:rPr>
          <w:lang w:val="en-US"/>
        </w:rPr>
        <w:t xml:space="preserve"> in </w:t>
      </w:r>
      <w:r w:rsidR="0095374C">
        <w:rPr>
          <w:rFonts w:asciiTheme="minorHAnsi" w:hAnsiTheme="minorHAnsi" w:cstheme="minorHAnsi"/>
          <w:lang w:val="en-US"/>
        </w:rPr>
        <w:t>two language versions - ukrainian and english</w:t>
      </w:r>
      <w:r w:rsidR="00026894">
        <w:t>:</w:t>
      </w:r>
    </w:p>
    <w:p w:rsidR="00026894" w:rsidRDefault="001B1A66" w:rsidP="00026894">
      <w:pPr>
        <w:pStyle w:val="ListParagraph"/>
        <w:numPr>
          <w:ilvl w:val="0"/>
          <w:numId w:val="28"/>
        </w:numPr>
        <w:spacing w:after="0" w:line="240" w:lineRule="auto"/>
        <w:jc w:val="both"/>
      </w:pPr>
      <w:r>
        <w:rPr>
          <w:lang w:val="en-US"/>
        </w:rPr>
        <w:t xml:space="preserve">To produce </w:t>
      </w:r>
      <w:proofErr w:type="gramStart"/>
      <w:r w:rsidR="00026894" w:rsidRPr="001101D1">
        <w:t>6</w:t>
      </w:r>
      <w:proofErr w:type="gramEnd"/>
      <w:r w:rsidR="00026894" w:rsidRPr="001101D1">
        <w:t xml:space="preserve"> infographic animated videos (1 min each maximum) to explain the work of services provision models</w:t>
      </w:r>
      <w:r w:rsidR="00026894">
        <w:t>.</w:t>
      </w:r>
    </w:p>
    <w:p w:rsidR="00026894" w:rsidRDefault="001B1A66" w:rsidP="00026894">
      <w:pPr>
        <w:pStyle w:val="ListParagraph"/>
        <w:numPr>
          <w:ilvl w:val="0"/>
          <w:numId w:val="28"/>
        </w:numPr>
        <w:spacing w:after="0" w:line="240" w:lineRule="auto"/>
        <w:jc w:val="both"/>
      </w:pPr>
      <w:r>
        <w:rPr>
          <w:lang w:val="en-US"/>
        </w:rPr>
        <w:t xml:space="preserve">To produce </w:t>
      </w:r>
      <w:proofErr w:type="gramStart"/>
      <w:r w:rsidR="00026894">
        <w:t>1</w:t>
      </w:r>
      <w:proofErr w:type="gramEnd"/>
      <w:r w:rsidR="00026894">
        <w:t xml:space="preserve"> </w:t>
      </w:r>
      <w:r w:rsidR="00026894" w:rsidRPr="001101D1">
        <w:t>infographic animated video (3 min max) that summarizes key milestones and achievements in</w:t>
      </w:r>
      <w:r w:rsidR="00026894">
        <w:t xml:space="preserve"> </w:t>
      </w:r>
      <w:r w:rsidR="00026894" w:rsidRPr="001101D1">
        <w:t>developing national and local systems of GBV response and prevention.</w:t>
      </w:r>
    </w:p>
    <w:p w:rsidR="00026894" w:rsidRDefault="001B1A66" w:rsidP="0060164A">
      <w:pPr>
        <w:pStyle w:val="ListParagraph"/>
        <w:spacing w:after="0" w:line="240" w:lineRule="auto"/>
        <w:jc w:val="both"/>
      </w:pPr>
      <w:r>
        <w:rPr>
          <w:lang w:val="en-US"/>
        </w:rPr>
        <w:t xml:space="preserve">To produce </w:t>
      </w:r>
      <w:proofErr w:type="gramStart"/>
      <w:r w:rsidR="00026894">
        <w:t>1</w:t>
      </w:r>
      <w:proofErr w:type="gramEnd"/>
      <w:r w:rsidR="00026894">
        <w:t xml:space="preserve"> video, both </w:t>
      </w:r>
      <w:r w:rsidR="00026894" w:rsidRPr="001101D1">
        <w:t xml:space="preserve">animated and with video footage from </w:t>
      </w:r>
      <w:r w:rsidR="00026894">
        <w:t>UNFPA Ukraine Youtube,</w:t>
      </w:r>
      <w:r w:rsidR="00026894" w:rsidRPr="001101D1">
        <w:t xml:space="preserve"> to describe the</w:t>
      </w:r>
      <w:r w:rsidR="00026894">
        <w:t xml:space="preserve"> </w:t>
      </w:r>
      <w:r w:rsidR="00026894" w:rsidRPr="001101D1">
        <w:t>“Break the Circle campaign” - its milestones, results and key events.</w:t>
      </w:r>
      <w:r w:rsidR="00026894">
        <w:t xml:space="preserve"> </w:t>
      </w:r>
    </w:p>
    <w:p w:rsidR="0060164A" w:rsidRDefault="00026894" w:rsidP="0060164A">
      <w:pPr>
        <w:pStyle w:val="ListParagraph"/>
        <w:numPr>
          <w:ilvl w:val="0"/>
          <w:numId w:val="27"/>
        </w:numPr>
        <w:spacing w:before="100" w:after="100" w:line="240" w:lineRule="auto"/>
        <w:jc w:val="both"/>
      </w:pPr>
      <w:r w:rsidRPr="00645AA5">
        <w:t xml:space="preserve">To develop 5 short 1-3 sec animation breaks for using them between panels on GBV </w:t>
      </w:r>
      <w:r>
        <w:t xml:space="preserve">Forum on the screens, including the main image of the event. </w:t>
      </w:r>
    </w:p>
    <w:p w:rsidR="0060164A" w:rsidRDefault="0060164A" w:rsidP="0060164A">
      <w:pPr>
        <w:spacing w:before="100" w:after="100" w:line="240" w:lineRule="auto"/>
        <w:jc w:val="both"/>
      </w:pPr>
      <w:r>
        <w:t xml:space="preserve">The Ukrainian text for the videos is available at the </w:t>
      </w:r>
      <w:hyperlink r:id="rId10" w:history="1">
        <w:r w:rsidRPr="00790238">
          <w:rPr>
            <w:rStyle w:val="Hyperlink"/>
          </w:rPr>
          <w:t>link</w:t>
        </w:r>
      </w:hyperlink>
      <w:r>
        <w:t xml:space="preserve">. </w:t>
      </w:r>
      <w:r>
        <w:rPr>
          <w:lang w:val="en-US"/>
        </w:rPr>
        <w:t>UNFPA Ukraine</w:t>
      </w:r>
      <w:r>
        <w:t xml:space="preserve"> reserves the right to change the final text by no more than 30% of the above</w:t>
      </w:r>
      <w:r>
        <w:rPr>
          <w:lang w:val="en-US"/>
        </w:rPr>
        <w:t xml:space="preserve"> given</w:t>
      </w:r>
      <w:r>
        <w:t>.</w:t>
      </w:r>
    </w:p>
    <w:p w:rsidR="00026894" w:rsidRDefault="00026894" w:rsidP="00026894">
      <w:pPr>
        <w:spacing w:after="0" w:line="240" w:lineRule="auto"/>
        <w:jc w:val="both"/>
      </w:pPr>
    </w:p>
    <w:p w:rsidR="00026894" w:rsidRDefault="00026894" w:rsidP="00026894">
      <w:pPr>
        <w:spacing w:after="0" w:line="240" w:lineRule="auto"/>
        <w:jc w:val="both"/>
        <w:rPr>
          <w:b/>
        </w:rPr>
      </w:pPr>
      <w:r w:rsidRPr="008052AF">
        <w:rPr>
          <w:b/>
        </w:rPr>
        <w:t>Deliv</w:t>
      </w:r>
      <w:r>
        <w:rPr>
          <w:b/>
        </w:rPr>
        <w:t xml:space="preserve">erables and time frames </w:t>
      </w:r>
    </w:p>
    <w:p w:rsidR="00026894" w:rsidRDefault="00026894" w:rsidP="00026894">
      <w:pPr>
        <w:spacing w:after="0" w:line="240" w:lineRule="auto"/>
        <w:jc w:val="both"/>
        <w:rPr>
          <w:rFonts w:ascii="Times New Roman" w:eastAsia="Times New Roman" w:hAnsi="Times New Roman" w:cs="Times New Roman"/>
          <w:sz w:val="24"/>
        </w:rPr>
      </w:pPr>
      <w:r>
        <w:t>Under the overall supervision of UNFPA Communication and Advocacy Associate the contractor will be expected to perform the following deliverables:</w:t>
      </w:r>
    </w:p>
    <w:tbl>
      <w:tblPr>
        <w:tblW w:w="0" w:type="auto"/>
        <w:tblInd w:w="-10" w:type="dxa"/>
        <w:tblCellMar>
          <w:left w:w="10" w:type="dxa"/>
          <w:right w:w="10" w:type="dxa"/>
        </w:tblCellMar>
        <w:tblLook w:val="0000" w:firstRow="0" w:lastRow="0" w:firstColumn="0" w:lastColumn="0" w:noHBand="0" w:noVBand="0"/>
      </w:tblPr>
      <w:tblGrid>
        <w:gridCol w:w="622"/>
        <w:gridCol w:w="2051"/>
        <w:gridCol w:w="4799"/>
        <w:gridCol w:w="2164"/>
      </w:tblGrid>
      <w:tr w:rsidR="00026894" w:rsidTr="001B1A66">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left="100"/>
              <w:jc w:val="center"/>
              <w:rPr>
                <w:rFonts w:asciiTheme="minorHAnsi" w:hAnsiTheme="minorHAnsi" w:cstheme="minorHAnsi"/>
              </w:rPr>
            </w:pPr>
            <w:r w:rsidRPr="001B1A66">
              <w:rPr>
                <w:rFonts w:asciiTheme="minorHAnsi" w:hAnsiTheme="minorHAnsi" w:cstheme="minorHAnsi"/>
                <w:b/>
              </w:rPr>
              <w:t>No.</w:t>
            </w:r>
          </w:p>
        </w:tc>
        <w:tc>
          <w:tcPr>
            <w:tcW w:w="20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before="140" w:after="0" w:line="240" w:lineRule="auto"/>
              <w:jc w:val="both"/>
              <w:rPr>
                <w:rFonts w:asciiTheme="minorHAnsi" w:hAnsiTheme="minorHAnsi" w:cstheme="minorHAnsi"/>
              </w:rPr>
            </w:pPr>
            <w:r w:rsidRPr="001B1A66">
              <w:rPr>
                <w:rFonts w:asciiTheme="minorHAnsi" w:hAnsiTheme="minorHAnsi" w:cstheme="minorHAnsi"/>
                <w:b/>
              </w:rPr>
              <w:t>Expected deliverables</w:t>
            </w:r>
          </w:p>
        </w:tc>
        <w:tc>
          <w:tcPr>
            <w:tcW w:w="47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before="140" w:after="0" w:line="240" w:lineRule="auto"/>
              <w:jc w:val="both"/>
              <w:rPr>
                <w:rFonts w:asciiTheme="minorHAnsi" w:hAnsiTheme="minorHAnsi" w:cstheme="minorHAnsi"/>
              </w:rPr>
            </w:pPr>
            <w:r w:rsidRPr="001B1A66">
              <w:rPr>
                <w:rFonts w:asciiTheme="minorHAnsi" w:hAnsiTheme="minorHAnsi" w:cstheme="minorHAnsi"/>
                <w:b/>
              </w:rPr>
              <w:t>Product requirements</w:t>
            </w:r>
          </w:p>
        </w:tc>
        <w:tc>
          <w:tcPr>
            <w:tcW w:w="216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rPr>
                <w:rFonts w:asciiTheme="minorHAnsi" w:eastAsia="Times New Roman" w:hAnsiTheme="minorHAnsi" w:cstheme="minorHAnsi"/>
              </w:rPr>
            </w:pPr>
          </w:p>
          <w:p w:rsidR="00026894" w:rsidRPr="001B1A66" w:rsidRDefault="00026894" w:rsidP="00421C69">
            <w:pPr>
              <w:spacing w:after="0" w:line="240" w:lineRule="auto"/>
              <w:ind w:right="220"/>
              <w:jc w:val="both"/>
              <w:rPr>
                <w:rFonts w:asciiTheme="minorHAnsi" w:hAnsiTheme="minorHAnsi" w:cstheme="minorHAnsi"/>
              </w:rPr>
            </w:pPr>
            <w:r w:rsidRPr="001B1A66">
              <w:rPr>
                <w:rFonts w:asciiTheme="minorHAnsi" w:hAnsiTheme="minorHAnsi" w:cstheme="minorHAnsi"/>
                <w:b/>
              </w:rPr>
              <w:t>Estimated submission time</w:t>
            </w:r>
          </w:p>
        </w:tc>
      </w:tr>
      <w:tr w:rsidR="00026894" w:rsidTr="001B1A66">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left="-30"/>
              <w:jc w:val="center"/>
              <w:rPr>
                <w:rFonts w:asciiTheme="minorHAnsi" w:hAnsiTheme="minorHAnsi" w:cstheme="minorHAnsi"/>
              </w:rPr>
            </w:pPr>
            <w:r w:rsidRPr="001B1A66">
              <w:rPr>
                <w:rFonts w:asciiTheme="minorHAnsi" w:hAnsiTheme="minorHAnsi" w:cstheme="minorHAnsi"/>
              </w:rPr>
              <w:t>1</w:t>
            </w:r>
          </w:p>
        </w:tc>
        <w:tc>
          <w:tcPr>
            <w:tcW w:w="20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rPr>
                <w:rFonts w:asciiTheme="minorHAnsi" w:hAnsiTheme="minorHAnsi" w:cstheme="minorHAnsi"/>
              </w:rPr>
            </w:pPr>
            <w:r w:rsidRPr="001B1A66">
              <w:rPr>
                <w:rFonts w:asciiTheme="minorHAnsi" w:hAnsiTheme="minorHAnsi" w:cstheme="minorHAnsi"/>
              </w:rPr>
              <w:t>Visual style for the videos and static infographics</w:t>
            </w:r>
          </w:p>
          <w:p w:rsidR="00026894" w:rsidRPr="001B1A66" w:rsidRDefault="00026894" w:rsidP="00421C69">
            <w:pPr>
              <w:spacing w:after="0" w:line="240" w:lineRule="auto"/>
              <w:ind w:left="200"/>
              <w:jc w:val="both"/>
              <w:rPr>
                <w:rFonts w:asciiTheme="minorHAnsi" w:hAnsiTheme="minorHAnsi" w:cstheme="minorHAnsi"/>
              </w:rPr>
            </w:pPr>
            <w:r w:rsidRPr="001B1A66">
              <w:rPr>
                <w:rFonts w:asciiTheme="minorHAnsi" w:hAnsiTheme="minorHAnsi" w:cstheme="minorHAnsi"/>
              </w:rPr>
              <w:t xml:space="preserve"> </w:t>
            </w:r>
          </w:p>
        </w:tc>
        <w:tc>
          <w:tcPr>
            <w:tcW w:w="47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right="100"/>
              <w:jc w:val="both"/>
              <w:rPr>
                <w:rFonts w:asciiTheme="minorHAnsi" w:hAnsiTheme="minorHAnsi" w:cstheme="minorHAnsi"/>
              </w:rPr>
            </w:pPr>
            <w:r w:rsidRPr="001B1A66">
              <w:rPr>
                <w:rFonts w:asciiTheme="minorHAnsi" w:hAnsiTheme="minorHAnsi" w:cstheme="minorHAnsi"/>
              </w:rPr>
              <w:t>Visual style of the design have to be aligned with the “Break the Circle” brand book.</w:t>
            </w:r>
          </w:p>
        </w:tc>
        <w:tc>
          <w:tcPr>
            <w:tcW w:w="216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right="100"/>
              <w:jc w:val="both"/>
              <w:rPr>
                <w:rFonts w:asciiTheme="minorHAnsi" w:hAnsiTheme="minorHAnsi" w:cstheme="minorHAnsi"/>
              </w:rPr>
            </w:pPr>
            <w:r w:rsidRPr="001B1A66">
              <w:rPr>
                <w:rFonts w:asciiTheme="minorHAnsi" w:hAnsiTheme="minorHAnsi" w:cstheme="minorHAnsi"/>
              </w:rPr>
              <w:t>5 working days upon signing the contract</w:t>
            </w:r>
          </w:p>
        </w:tc>
      </w:tr>
      <w:tr w:rsidR="00026894" w:rsidTr="001B1A66">
        <w:trPr>
          <w:trHeight w:val="873"/>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left="100"/>
              <w:jc w:val="center"/>
              <w:rPr>
                <w:rFonts w:asciiTheme="minorHAnsi" w:hAnsiTheme="minorHAnsi" w:cstheme="minorHAnsi"/>
              </w:rPr>
            </w:pPr>
            <w:r w:rsidRPr="001B1A66">
              <w:rPr>
                <w:rFonts w:asciiTheme="minorHAnsi" w:hAnsiTheme="minorHAnsi" w:cstheme="minorHAnsi"/>
              </w:rPr>
              <w:t>2</w:t>
            </w:r>
          </w:p>
        </w:tc>
        <w:tc>
          <w:tcPr>
            <w:tcW w:w="20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797FC7" w:rsidRDefault="00797FC7" w:rsidP="001B1A66">
            <w:pPr>
              <w:spacing w:after="0" w:line="240" w:lineRule="auto"/>
              <w:rPr>
                <w:rFonts w:asciiTheme="minorHAnsi" w:hAnsiTheme="minorHAnsi" w:cstheme="minorHAnsi"/>
                <w:lang w:val="en-US"/>
              </w:rPr>
            </w:pPr>
            <w:r>
              <w:rPr>
                <w:rFonts w:asciiTheme="minorHAnsi" w:hAnsiTheme="minorHAnsi" w:cstheme="minorHAnsi"/>
              </w:rPr>
              <w:t>8 elaborated  infographics</w:t>
            </w:r>
            <w:r w:rsidR="00026894" w:rsidRPr="001B1A66">
              <w:rPr>
                <w:rFonts w:asciiTheme="minorHAnsi" w:hAnsiTheme="minorHAnsi" w:cstheme="minorHAnsi"/>
              </w:rPr>
              <w:t xml:space="preserve"> </w:t>
            </w:r>
            <w:r>
              <w:rPr>
                <w:rFonts w:asciiTheme="minorHAnsi" w:hAnsiTheme="minorHAnsi" w:cstheme="minorHAnsi"/>
                <w:lang w:val="en-US"/>
              </w:rPr>
              <w:t>in two language versions (ukrainian and english)</w:t>
            </w:r>
          </w:p>
        </w:tc>
        <w:tc>
          <w:tcPr>
            <w:tcW w:w="47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BF48CC">
            <w:pPr>
              <w:spacing w:after="0" w:line="240" w:lineRule="auto"/>
              <w:rPr>
                <w:rFonts w:asciiTheme="minorHAnsi" w:hAnsiTheme="minorHAnsi" w:cstheme="minorHAnsi"/>
              </w:rPr>
            </w:pPr>
            <w:r w:rsidRPr="001B1A66">
              <w:rPr>
                <w:rFonts w:asciiTheme="minorHAnsi" w:eastAsia="Times New Roman" w:hAnsiTheme="minorHAnsi" w:cstheme="minorHAnsi"/>
              </w:rPr>
              <w:t>All infographics have to be made in in two formats</w:t>
            </w:r>
            <w:r w:rsidR="00BF48CC">
              <w:rPr>
                <w:rFonts w:asciiTheme="minorHAnsi" w:eastAsia="Times New Roman" w:hAnsiTheme="minorHAnsi" w:cstheme="minorHAnsi"/>
              </w:rPr>
              <w:t xml:space="preserve"> (for printing and digital), all</w:t>
            </w:r>
            <w:r w:rsidRPr="001B1A66">
              <w:rPr>
                <w:rFonts w:asciiTheme="minorHAnsi" w:eastAsia="Times New Roman" w:hAnsiTheme="minorHAnsi" w:cstheme="minorHAnsi"/>
              </w:rPr>
              <w:t xml:space="preserve"> files </w:t>
            </w:r>
            <w:r w:rsidR="00BF48CC">
              <w:rPr>
                <w:rFonts w:asciiTheme="minorHAnsi" w:eastAsia="Times New Roman" w:hAnsiTheme="minorHAnsi" w:cstheme="minorHAnsi"/>
                <w:lang w:val="en-US"/>
              </w:rPr>
              <w:t>must</w:t>
            </w:r>
            <w:r w:rsidRPr="001B1A66">
              <w:rPr>
                <w:rFonts w:asciiTheme="minorHAnsi" w:eastAsia="Times New Roman" w:hAnsiTheme="minorHAnsi" w:cstheme="minorHAnsi"/>
              </w:rPr>
              <w:t xml:space="preserve"> be provided</w:t>
            </w:r>
            <w:r w:rsidR="00BF48CC">
              <w:rPr>
                <w:rFonts w:asciiTheme="minorHAnsi" w:eastAsia="Times New Roman" w:hAnsiTheme="minorHAnsi" w:cstheme="minorHAnsi"/>
                <w:lang w:val="en-US"/>
              </w:rPr>
              <w:t>.</w:t>
            </w:r>
            <w:r w:rsidRPr="001B1A66">
              <w:rPr>
                <w:rFonts w:asciiTheme="minorHAnsi" w:eastAsia="Times New Roman" w:hAnsiTheme="minorHAnsi" w:cstheme="minorHAnsi"/>
              </w:rPr>
              <w:br/>
            </w:r>
            <w:r w:rsidRPr="001B1A66">
              <w:rPr>
                <w:rFonts w:asciiTheme="minorHAnsi" w:eastAsia="Times New Roman" w:hAnsiTheme="minorHAnsi" w:cstheme="minorHAnsi"/>
              </w:rPr>
              <w:br/>
            </w:r>
          </w:p>
        </w:tc>
        <w:tc>
          <w:tcPr>
            <w:tcW w:w="216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before="140" w:after="0" w:line="240" w:lineRule="auto"/>
              <w:ind w:right="100"/>
              <w:jc w:val="both"/>
              <w:rPr>
                <w:rFonts w:asciiTheme="minorHAnsi" w:hAnsiTheme="minorHAnsi" w:cstheme="minorHAnsi"/>
              </w:rPr>
            </w:pPr>
            <w:r w:rsidRPr="001B1A66">
              <w:rPr>
                <w:rFonts w:asciiTheme="minorHAnsi" w:hAnsiTheme="minorHAnsi" w:cstheme="minorHAnsi"/>
              </w:rPr>
              <w:t>10 working days upon  signing the contract</w:t>
            </w:r>
          </w:p>
        </w:tc>
      </w:tr>
      <w:tr w:rsidR="00026894" w:rsidTr="001B1A66">
        <w:trPr>
          <w:trHeight w:val="1913"/>
        </w:trPr>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left="100"/>
              <w:jc w:val="center"/>
              <w:rPr>
                <w:rFonts w:asciiTheme="minorHAnsi" w:hAnsiTheme="minorHAnsi" w:cstheme="minorHAnsi"/>
              </w:rPr>
            </w:pPr>
            <w:r w:rsidRPr="001B1A66">
              <w:rPr>
                <w:rFonts w:asciiTheme="minorHAnsi" w:hAnsiTheme="minorHAnsi" w:cstheme="minorHAnsi"/>
              </w:rPr>
              <w:t>4</w:t>
            </w:r>
          </w:p>
        </w:tc>
        <w:tc>
          <w:tcPr>
            <w:tcW w:w="20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797FC7" w:rsidP="00797FC7">
            <w:pPr>
              <w:spacing w:after="0" w:line="240" w:lineRule="auto"/>
              <w:rPr>
                <w:rFonts w:asciiTheme="minorHAnsi" w:hAnsiTheme="minorHAnsi" w:cstheme="minorHAnsi"/>
              </w:rPr>
            </w:pPr>
            <w:r>
              <w:rPr>
                <w:rFonts w:asciiTheme="minorHAnsi" w:hAnsiTheme="minorHAnsi" w:cstheme="minorHAnsi"/>
              </w:rPr>
              <w:t xml:space="preserve">8 animated videos </w:t>
            </w:r>
            <w:r>
              <w:rPr>
                <w:rFonts w:asciiTheme="minorHAnsi" w:hAnsiTheme="minorHAnsi" w:cstheme="minorHAnsi"/>
                <w:lang w:val="en-US"/>
              </w:rPr>
              <w:t>in two language versions (ukrainian and english)</w:t>
            </w:r>
          </w:p>
        </w:tc>
        <w:tc>
          <w:tcPr>
            <w:tcW w:w="47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jc w:val="both"/>
              <w:rPr>
                <w:rFonts w:asciiTheme="minorHAnsi" w:hAnsiTheme="minorHAnsi" w:cstheme="minorHAnsi"/>
              </w:rPr>
            </w:pPr>
            <w:r w:rsidRPr="001B1A66">
              <w:rPr>
                <w:rFonts w:asciiTheme="minorHAnsi" w:hAnsiTheme="minorHAnsi" w:cstheme="minorHAnsi"/>
              </w:rPr>
              <w:t>Vid</w:t>
            </w:r>
            <w:r w:rsidR="00BF48CC">
              <w:rPr>
                <w:rFonts w:asciiTheme="minorHAnsi" w:hAnsiTheme="minorHAnsi" w:cstheme="minorHAnsi"/>
              </w:rPr>
              <w:t xml:space="preserve">eos have to </w:t>
            </w:r>
            <w:r w:rsidRPr="001B1A66">
              <w:rPr>
                <w:rFonts w:asciiTheme="minorHAnsi" w:hAnsiTheme="minorHAnsi" w:cstheme="minorHAnsi"/>
              </w:rPr>
              <w:t xml:space="preserve"> contain subtitles</w:t>
            </w:r>
            <w:r w:rsidR="00BF48CC">
              <w:rPr>
                <w:rFonts w:asciiTheme="minorHAnsi" w:hAnsiTheme="minorHAnsi" w:cstheme="minorHAnsi"/>
                <w:lang w:val="en-US"/>
              </w:rPr>
              <w:t xml:space="preserve"> and a voiceover</w:t>
            </w:r>
            <w:r w:rsidRPr="001B1A66">
              <w:rPr>
                <w:rFonts w:asciiTheme="minorHAnsi" w:hAnsiTheme="minorHAnsi" w:cstheme="minorHAnsi"/>
              </w:rPr>
              <w:t>.</w:t>
            </w:r>
          </w:p>
          <w:p w:rsidR="00026894" w:rsidRPr="001B1A66" w:rsidRDefault="00026894" w:rsidP="00421C69">
            <w:pPr>
              <w:spacing w:after="0" w:line="240" w:lineRule="auto"/>
              <w:jc w:val="both"/>
              <w:rPr>
                <w:rFonts w:asciiTheme="minorHAnsi" w:hAnsiTheme="minorHAnsi" w:cstheme="minorHAnsi"/>
              </w:rPr>
            </w:pPr>
            <w:r w:rsidRPr="001B1A66">
              <w:rPr>
                <w:rFonts w:asciiTheme="minorHAnsi" w:hAnsiTheme="minorHAnsi" w:cstheme="minorHAnsi"/>
              </w:rPr>
              <w:t>References:</w:t>
            </w:r>
          </w:p>
          <w:p w:rsidR="00026894" w:rsidRPr="001B1A66" w:rsidRDefault="00026894" w:rsidP="00421C69">
            <w:pPr>
              <w:spacing w:after="0" w:line="240" w:lineRule="auto"/>
              <w:jc w:val="both"/>
              <w:rPr>
                <w:rFonts w:asciiTheme="minorHAnsi" w:eastAsia="Times New Roman" w:hAnsiTheme="minorHAnsi" w:cstheme="minorHAnsi"/>
              </w:rPr>
            </w:pPr>
            <w:r w:rsidRPr="001B1A66">
              <w:rPr>
                <w:rFonts w:asciiTheme="minorHAnsi" w:eastAsia="Times New Roman" w:hAnsiTheme="minorHAnsi" w:cstheme="minorHAnsi"/>
              </w:rPr>
              <w:t>https://vimeo.com/260391079</w:t>
            </w:r>
          </w:p>
          <w:p w:rsidR="00026894" w:rsidRDefault="00BF48CC" w:rsidP="00421C69">
            <w:pPr>
              <w:spacing w:after="0" w:line="240" w:lineRule="auto"/>
              <w:jc w:val="both"/>
              <w:rPr>
                <w:rFonts w:asciiTheme="minorHAnsi" w:eastAsia="Times New Roman" w:hAnsiTheme="minorHAnsi" w:cstheme="minorHAnsi"/>
              </w:rPr>
            </w:pPr>
            <w:hyperlink r:id="rId11" w:history="1">
              <w:r w:rsidRPr="00B1373B">
                <w:rPr>
                  <w:rStyle w:val="Hyperlink"/>
                  <w:rFonts w:asciiTheme="minorHAnsi" w:eastAsia="Times New Roman" w:hAnsiTheme="minorHAnsi" w:cstheme="minorHAnsi"/>
                </w:rPr>
                <w:t>https://www.youtube.com/watch?v=5KLf_hapcm4</w:t>
              </w:r>
            </w:hyperlink>
          </w:p>
          <w:p w:rsidR="00BF48CC" w:rsidRPr="001B1A66" w:rsidRDefault="00BF48CC" w:rsidP="00421C69">
            <w:pPr>
              <w:spacing w:after="0" w:line="240" w:lineRule="auto"/>
              <w:jc w:val="both"/>
              <w:rPr>
                <w:rFonts w:asciiTheme="minorHAnsi" w:eastAsia="Times New Roman" w:hAnsiTheme="minorHAnsi" w:cstheme="minorHAnsi"/>
              </w:rPr>
            </w:pPr>
          </w:p>
          <w:p w:rsidR="00026894" w:rsidRPr="001B1A66" w:rsidRDefault="00BF48CC" w:rsidP="00BF48CC">
            <w:pPr>
              <w:spacing w:after="0" w:line="240" w:lineRule="auto"/>
              <w:jc w:val="both"/>
              <w:rPr>
                <w:rFonts w:asciiTheme="minorHAnsi" w:hAnsiTheme="minorHAnsi" w:cstheme="minorHAnsi"/>
              </w:rPr>
            </w:pPr>
            <w:hyperlink r:id="rId12" w:history="1">
              <w:r w:rsidRPr="00B1373B">
                <w:rPr>
                  <w:rStyle w:val="Hyperlink"/>
                  <w:rFonts w:asciiTheme="minorHAnsi" w:eastAsia="Times New Roman" w:hAnsiTheme="minorHAnsi" w:cstheme="minorHAnsi"/>
                </w:rPr>
                <w:t>https://www.youtube.com/watch?v=UbEirgWVTDc</w:t>
              </w:r>
            </w:hyperlink>
          </w:p>
        </w:tc>
        <w:tc>
          <w:tcPr>
            <w:tcW w:w="216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BF48CC" w:rsidP="00421C69">
            <w:pPr>
              <w:spacing w:after="0" w:line="240" w:lineRule="auto"/>
              <w:ind w:right="100"/>
              <w:jc w:val="both"/>
              <w:rPr>
                <w:rFonts w:asciiTheme="minorHAnsi" w:hAnsiTheme="minorHAnsi" w:cstheme="minorHAnsi"/>
              </w:rPr>
            </w:pPr>
            <w:r>
              <w:rPr>
                <w:rFonts w:asciiTheme="minorHAnsi" w:hAnsiTheme="minorHAnsi" w:cstheme="minorHAnsi"/>
              </w:rPr>
              <w:t xml:space="preserve">Final videos should be provided after approval but </w:t>
            </w:r>
            <w:r w:rsidR="00026894" w:rsidRPr="001B1A66">
              <w:rPr>
                <w:rFonts w:asciiTheme="minorHAnsi" w:hAnsiTheme="minorHAnsi" w:cstheme="minorHAnsi"/>
              </w:rPr>
              <w:t>not later than 14th February</w:t>
            </w:r>
          </w:p>
        </w:tc>
      </w:tr>
      <w:tr w:rsidR="00026894" w:rsidTr="001B1A66">
        <w:tc>
          <w:tcPr>
            <w:tcW w:w="622"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after="0" w:line="240" w:lineRule="auto"/>
              <w:ind w:left="100"/>
              <w:jc w:val="center"/>
              <w:rPr>
                <w:rFonts w:asciiTheme="minorHAnsi" w:hAnsiTheme="minorHAnsi" w:cstheme="minorHAnsi"/>
              </w:rPr>
            </w:pPr>
            <w:r w:rsidRPr="001B1A66">
              <w:rPr>
                <w:rFonts w:asciiTheme="minorHAnsi" w:hAnsiTheme="minorHAnsi" w:cstheme="minorHAnsi"/>
              </w:rPr>
              <w:t>5</w:t>
            </w:r>
          </w:p>
        </w:tc>
        <w:tc>
          <w:tcPr>
            <w:tcW w:w="20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before="120" w:after="0" w:line="240" w:lineRule="auto"/>
              <w:jc w:val="both"/>
              <w:rPr>
                <w:rFonts w:asciiTheme="minorHAnsi" w:hAnsiTheme="minorHAnsi" w:cstheme="minorHAnsi"/>
              </w:rPr>
            </w:pPr>
            <w:r w:rsidRPr="001B1A66">
              <w:rPr>
                <w:rFonts w:asciiTheme="minorHAnsi" w:hAnsiTheme="minorHAnsi" w:cstheme="minorHAnsi"/>
              </w:rPr>
              <w:t xml:space="preserve">5 short 1-3 sec animation breaks for using them between panels on GBV Forum on the screens, including the main image of the event </w:t>
            </w:r>
          </w:p>
        </w:tc>
        <w:tc>
          <w:tcPr>
            <w:tcW w:w="4799"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026894" w:rsidP="00421C69">
            <w:pPr>
              <w:spacing w:before="120" w:after="0" w:line="240" w:lineRule="auto"/>
              <w:jc w:val="both"/>
              <w:rPr>
                <w:rFonts w:asciiTheme="minorHAnsi" w:hAnsiTheme="minorHAnsi" w:cstheme="minorHAnsi"/>
              </w:rPr>
            </w:pPr>
            <w:r w:rsidRPr="001B1A66">
              <w:rPr>
                <w:rFonts w:asciiTheme="minorHAnsi" w:hAnsiTheme="minorHAnsi" w:cstheme="minorHAnsi"/>
              </w:rPr>
              <w:t xml:space="preserve">No voiceover or subtitles. Minimalistic moves. </w:t>
            </w:r>
          </w:p>
        </w:tc>
        <w:tc>
          <w:tcPr>
            <w:tcW w:w="216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026894" w:rsidRPr="001B1A66" w:rsidRDefault="00BF48CC" w:rsidP="00BF48CC">
            <w:pPr>
              <w:spacing w:after="0" w:line="240" w:lineRule="auto"/>
              <w:ind w:right="100"/>
              <w:jc w:val="both"/>
              <w:rPr>
                <w:rFonts w:asciiTheme="minorHAnsi" w:hAnsiTheme="minorHAnsi" w:cstheme="minorHAnsi"/>
              </w:rPr>
            </w:pPr>
            <w:r>
              <w:rPr>
                <w:rFonts w:asciiTheme="minorHAnsi" w:hAnsiTheme="minorHAnsi" w:cstheme="minorHAnsi"/>
              </w:rPr>
              <w:t xml:space="preserve">Final videos should be provided after approval </w:t>
            </w:r>
            <w:r>
              <w:rPr>
                <w:rFonts w:asciiTheme="minorHAnsi" w:hAnsiTheme="minorHAnsi" w:cstheme="minorHAnsi"/>
                <w:lang w:val="en-US"/>
              </w:rPr>
              <w:t>but not</w:t>
            </w:r>
            <w:r w:rsidR="00026894" w:rsidRPr="001B1A66">
              <w:rPr>
                <w:rFonts w:asciiTheme="minorHAnsi" w:hAnsiTheme="minorHAnsi" w:cstheme="minorHAnsi"/>
              </w:rPr>
              <w:t xml:space="preserve"> later than 17th February</w:t>
            </w:r>
          </w:p>
        </w:tc>
      </w:tr>
    </w:tbl>
    <w:p w:rsidR="00026894" w:rsidRDefault="00026894" w:rsidP="00026894">
      <w:pPr>
        <w:spacing w:after="0" w:line="240" w:lineRule="auto"/>
        <w:rPr>
          <w:rFonts w:ascii="Times New Roman" w:eastAsia="Times New Roman" w:hAnsi="Times New Roman" w:cs="Times New Roman"/>
        </w:rPr>
      </w:pPr>
    </w:p>
    <w:p w:rsidR="00026894" w:rsidRDefault="00026894" w:rsidP="00026894">
      <w:pPr>
        <w:spacing w:after="0" w:line="240" w:lineRule="auto"/>
        <w:jc w:val="both"/>
        <w:rPr>
          <w:rFonts w:ascii="Times New Roman" w:eastAsia="Times New Roman" w:hAnsi="Times New Roman" w:cs="Times New Roman"/>
          <w:sz w:val="24"/>
        </w:rPr>
      </w:pPr>
      <w:r>
        <w:rPr>
          <w:b/>
        </w:rPr>
        <w:lastRenderedPageBreak/>
        <w:t>Intellectual Property</w:t>
      </w:r>
    </w:p>
    <w:p w:rsidR="00026894" w:rsidRDefault="00026894" w:rsidP="00026894">
      <w:pPr>
        <w:spacing w:after="0" w:line="240" w:lineRule="auto"/>
        <w:jc w:val="both"/>
        <w:rPr>
          <w:rFonts w:ascii="Times New Roman" w:eastAsia="Times New Roman" w:hAnsi="Times New Roman" w:cs="Times New Roman"/>
          <w:sz w:val="24"/>
        </w:rPr>
      </w:pPr>
      <w:r>
        <w:t>All information pertaining to this project (documentary, audio, visual, digital, cyber, project documents, etc.) belonging to UNFPA, which the Contractor may come into contact with in the performance of the duties under this assignment shall remain the property of UNFPA with the exclusive rights over their use. Except for purposes of this assignment, the information shall not be disclosed to the public nor used in whatever without written permission of UNFPA in line with the national and International Copyright Laws applicable.</w:t>
      </w:r>
    </w:p>
    <w:p w:rsidR="00026894" w:rsidRDefault="00026894" w:rsidP="00026894">
      <w:pPr>
        <w:spacing w:after="0" w:line="240" w:lineRule="auto"/>
        <w:rPr>
          <w:rFonts w:ascii="Times New Roman" w:eastAsia="Times New Roman" w:hAnsi="Times New Roman" w:cs="Times New Roman"/>
        </w:rPr>
      </w:pPr>
    </w:p>
    <w:p w:rsidR="00026894" w:rsidRDefault="00026894" w:rsidP="00026894">
      <w:pPr>
        <w:spacing w:after="0" w:line="240" w:lineRule="auto"/>
        <w:jc w:val="both"/>
        <w:rPr>
          <w:rFonts w:ascii="Times New Roman" w:eastAsia="Times New Roman" w:hAnsi="Times New Roman" w:cs="Times New Roman"/>
          <w:sz w:val="24"/>
        </w:rPr>
      </w:pPr>
      <w:r>
        <w:rPr>
          <w:b/>
        </w:rPr>
        <w:t>Requirements and Qualifications</w:t>
      </w:r>
    </w:p>
    <w:p w:rsidR="00026894" w:rsidRDefault="00026894" w:rsidP="00026894">
      <w:pPr>
        <w:spacing w:after="0" w:line="240" w:lineRule="auto"/>
        <w:jc w:val="both"/>
        <w:rPr>
          <w:rFonts w:ascii="Times New Roman" w:eastAsia="Times New Roman" w:hAnsi="Times New Roman" w:cs="Times New Roman"/>
          <w:sz w:val="24"/>
        </w:rPr>
      </w:pPr>
      <w:r>
        <w:rPr>
          <w:color w:val="000000"/>
        </w:rPr>
        <w:t>UNFPA seeks a service provider with proven experience in video production and design.</w:t>
      </w:r>
    </w:p>
    <w:p w:rsidR="00026894" w:rsidRDefault="00026894" w:rsidP="00026894">
      <w:pPr>
        <w:spacing w:after="0" w:line="240" w:lineRule="auto"/>
        <w:ind w:left="700" w:firstLine="420"/>
        <w:jc w:val="both"/>
        <w:rPr>
          <w:rFonts w:ascii="Times New Roman" w:eastAsia="Times New Roman" w:hAnsi="Times New Roman" w:cs="Times New Roman"/>
          <w:sz w:val="24"/>
        </w:rPr>
      </w:pPr>
      <w:r>
        <w:rPr>
          <w:color w:val="000000"/>
        </w:rPr>
        <w:t xml:space="preserve"> </w:t>
      </w:r>
    </w:p>
    <w:p w:rsidR="00026894" w:rsidRDefault="00026894" w:rsidP="00026894">
      <w:pPr>
        <w:spacing w:after="0" w:line="240" w:lineRule="auto"/>
        <w:jc w:val="both"/>
        <w:rPr>
          <w:rFonts w:ascii="Times New Roman" w:eastAsia="Times New Roman" w:hAnsi="Times New Roman" w:cs="Times New Roman"/>
          <w:sz w:val="24"/>
        </w:rPr>
      </w:pPr>
      <w:r>
        <w:rPr>
          <w:color w:val="000000"/>
        </w:rPr>
        <w:t>The offeror should:</w:t>
      </w:r>
    </w:p>
    <w:p w:rsidR="00026894" w:rsidRDefault="00026894" w:rsidP="00026894">
      <w:pPr>
        <w:spacing w:after="0" w:line="240" w:lineRule="auto"/>
        <w:ind w:hanging="360"/>
        <w:jc w:val="both"/>
        <w:rPr>
          <w:rFonts w:ascii="Times New Roman" w:eastAsia="Times New Roman" w:hAnsi="Times New Roman" w:cs="Times New Roman"/>
          <w:sz w:val="24"/>
        </w:rPr>
      </w:pPr>
      <w:r>
        <w:rPr>
          <w:color w:val="000000"/>
        </w:rPr>
        <w:t>·</w:t>
      </w:r>
      <w:r>
        <w:rPr>
          <w:color w:val="000000"/>
          <w:sz w:val="14"/>
        </w:rPr>
        <w:t xml:space="preserve">          </w:t>
      </w:r>
      <w:r>
        <w:rPr>
          <w:color w:val="000000"/>
        </w:rPr>
        <w:t>be a resident entity of or have legal representation in Ukraine with respective official registration</w:t>
      </w:r>
    </w:p>
    <w:p w:rsidR="00026894" w:rsidRDefault="00026894" w:rsidP="00026894">
      <w:pPr>
        <w:spacing w:after="0" w:line="240" w:lineRule="auto"/>
        <w:ind w:hanging="360"/>
        <w:jc w:val="both"/>
        <w:rPr>
          <w:rFonts w:ascii="Times New Roman" w:eastAsia="Times New Roman" w:hAnsi="Times New Roman" w:cs="Times New Roman"/>
          <w:sz w:val="24"/>
        </w:rPr>
      </w:pPr>
      <w:r>
        <w:rPr>
          <w:color w:val="000000"/>
        </w:rPr>
        <w:t>·</w:t>
      </w:r>
      <w:r>
        <w:rPr>
          <w:color w:val="000000"/>
          <w:sz w:val="14"/>
        </w:rPr>
        <w:t xml:space="preserve">          </w:t>
      </w:r>
      <w:r>
        <w:rPr>
          <w:color w:val="000000"/>
        </w:rPr>
        <w:t>work in the area of design, video production for at least 3 years</w:t>
      </w:r>
    </w:p>
    <w:p w:rsidR="00026894" w:rsidRDefault="00026894" w:rsidP="00026894">
      <w:pPr>
        <w:spacing w:after="0" w:line="240" w:lineRule="auto"/>
        <w:ind w:hanging="360"/>
        <w:jc w:val="both"/>
        <w:rPr>
          <w:rFonts w:ascii="Times New Roman" w:eastAsia="Times New Roman" w:hAnsi="Times New Roman" w:cs="Times New Roman"/>
          <w:sz w:val="24"/>
        </w:rPr>
      </w:pPr>
      <w:r>
        <w:rPr>
          <w:color w:val="000000"/>
        </w:rPr>
        <w:t>·</w:t>
      </w:r>
      <w:r>
        <w:rPr>
          <w:color w:val="000000"/>
          <w:sz w:val="14"/>
        </w:rPr>
        <w:t xml:space="preserve">          </w:t>
      </w:r>
      <w:r>
        <w:rPr>
          <w:color w:val="000000"/>
        </w:rPr>
        <w:t>demonstrate ability to meet deadlines and work under pressure</w:t>
      </w:r>
    </w:p>
    <w:p w:rsidR="00026894" w:rsidRDefault="00026894" w:rsidP="00026894">
      <w:pPr>
        <w:spacing w:after="0" w:line="240" w:lineRule="auto"/>
        <w:ind w:hanging="360"/>
        <w:jc w:val="both"/>
        <w:rPr>
          <w:rFonts w:ascii="Times New Roman" w:eastAsia="Times New Roman" w:hAnsi="Times New Roman" w:cs="Times New Roman"/>
          <w:sz w:val="24"/>
        </w:rPr>
      </w:pPr>
      <w:r>
        <w:rPr>
          <w:color w:val="000000"/>
        </w:rPr>
        <w:t>·</w:t>
      </w:r>
      <w:r>
        <w:rPr>
          <w:color w:val="000000"/>
          <w:sz w:val="14"/>
        </w:rPr>
        <w:t xml:space="preserve">          </w:t>
      </w:r>
      <w:r>
        <w:rPr>
          <w:color w:val="000000"/>
        </w:rPr>
        <w:t>be fluent in Ukrainian or Russian, and English.</w:t>
      </w:r>
    </w:p>
    <w:p w:rsidR="00026894" w:rsidRDefault="00026894" w:rsidP="00026894">
      <w:pPr>
        <w:spacing w:after="0" w:line="280" w:lineRule="auto"/>
        <w:jc w:val="both"/>
        <w:rPr>
          <w:b/>
        </w:rPr>
      </w:pPr>
    </w:p>
    <w:p w:rsidR="00026894" w:rsidRDefault="00026894" w:rsidP="00026894">
      <w:pPr>
        <w:spacing w:after="0" w:line="280" w:lineRule="auto"/>
        <w:jc w:val="both"/>
        <w:rPr>
          <w:b/>
        </w:rPr>
      </w:pPr>
      <w:r>
        <w:rPr>
          <w:b/>
        </w:rPr>
        <w:t>Proposal evaluation</w:t>
      </w:r>
    </w:p>
    <w:p w:rsidR="00026894" w:rsidRDefault="00026894" w:rsidP="00026894">
      <w:pPr>
        <w:spacing w:after="0" w:line="280" w:lineRule="auto"/>
        <w:ind w:left="142" w:hanging="142"/>
        <w:jc w:val="both"/>
      </w:pPr>
      <w:r>
        <w:t>The detailed evaluation of the quot</w:t>
      </w:r>
      <w:r w:rsidR="008F4ADE">
        <w:t xml:space="preserve">ations will consist of </w:t>
      </w:r>
      <w:r w:rsidR="008F4ADE">
        <w:rPr>
          <w:lang w:val="en-US"/>
        </w:rPr>
        <w:t>technical</w:t>
      </w:r>
      <w:r>
        <w:t xml:space="preserve"> evaluation and financial evaluation. </w:t>
      </w:r>
    </w:p>
    <w:p w:rsidR="00026894" w:rsidRDefault="00026894" w:rsidP="00026894">
      <w:pPr>
        <w:spacing w:after="0" w:line="240" w:lineRule="auto"/>
        <w:jc w:val="both"/>
        <w:rPr>
          <w:shd w:val="clear" w:color="auto" w:fill="00FFFF"/>
        </w:rPr>
      </w:pPr>
    </w:p>
    <w:p w:rsidR="00026894" w:rsidRDefault="00026894" w:rsidP="00026894">
      <w:pPr>
        <w:numPr>
          <w:ilvl w:val="0"/>
          <w:numId w:val="10"/>
        </w:numPr>
        <w:spacing w:after="0" w:line="240" w:lineRule="auto"/>
        <w:ind w:left="360" w:hanging="360"/>
        <w:jc w:val="both"/>
        <w:rPr>
          <w:b/>
        </w:rPr>
      </w:pPr>
      <w:r>
        <w:rPr>
          <w:b/>
        </w:rPr>
        <w:t>Questions</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Questions or requests for further clarifications should be submitted in writing to the contact person below:</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u w:val="single"/>
        </w:rPr>
      </w:pPr>
    </w:p>
    <w:tbl>
      <w:tblPr>
        <w:tblW w:w="0" w:type="auto"/>
        <w:jc w:val="center"/>
        <w:tblCellMar>
          <w:left w:w="10" w:type="dxa"/>
          <w:right w:w="10" w:type="dxa"/>
        </w:tblCellMar>
        <w:tblLook w:val="0000" w:firstRow="0" w:lastRow="0" w:firstColumn="0" w:lastColumn="0" w:noHBand="0" w:noVBand="0"/>
      </w:tblPr>
      <w:tblGrid>
        <w:gridCol w:w="3510"/>
        <w:gridCol w:w="3431"/>
      </w:tblGrid>
      <w:tr w:rsidR="00026894"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Name of contact person at UNFPA:</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Pr="003350CB" w:rsidRDefault="002225AD" w:rsidP="00421C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val="en-US"/>
              </w:rPr>
            </w:pPr>
            <w:r>
              <w:rPr>
                <w:i/>
                <w:lang w:val="en-US"/>
              </w:rPr>
              <w:t>Alona Zubchenko</w:t>
            </w:r>
          </w:p>
        </w:tc>
      </w:tr>
      <w:tr w:rsidR="00026894"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Tel Nº:</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Pr="003350CB" w:rsidRDefault="003350CB" w:rsidP="00421C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val="en-US"/>
              </w:rPr>
            </w:pPr>
            <w:r>
              <w:rPr>
                <w:i/>
              </w:rPr>
              <w:t>+380 9</w:t>
            </w:r>
            <w:r>
              <w:rPr>
                <w:i/>
                <w:lang w:val="en-US"/>
              </w:rPr>
              <w:t>6 506 55 88</w:t>
            </w:r>
          </w:p>
        </w:tc>
      </w:tr>
      <w:tr w:rsidR="00026894" w:rsidTr="003350CB">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Email address of contact person:</w:t>
            </w:r>
          </w:p>
        </w:tc>
        <w:tc>
          <w:tcPr>
            <w:tcW w:w="3431"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3350CB" w:rsidP="00421C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Pr>
                <w:i/>
                <w:lang w:val="en-US"/>
              </w:rPr>
              <w:t>zubchenko</w:t>
            </w:r>
            <w:r w:rsidR="00026894">
              <w:rPr>
                <w:i/>
              </w:rPr>
              <w:t>@unfpa.org</w:t>
            </w:r>
          </w:p>
        </w:tc>
      </w:tr>
    </w:tbl>
    <w:p w:rsidR="00026894" w:rsidRDefault="00BF48CC" w:rsidP="00026894">
      <w:pPr>
        <w:tabs>
          <w:tab w:val="left" w:pos="6630"/>
          <w:tab w:val="left" w:pos="9120"/>
        </w:tabs>
        <w:spacing w:after="0" w:line="240" w:lineRule="auto"/>
        <w:jc w:val="both"/>
        <w:rPr>
          <w:b/>
          <w:lang w:val="en-US"/>
        </w:rPr>
      </w:pPr>
      <w:r>
        <w:rPr>
          <w:lang w:val="en-US"/>
        </w:rPr>
        <w:t>The deadline for</w:t>
      </w:r>
      <w:r w:rsidR="008F4ADE">
        <w:rPr>
          <w:lang w:val="en-US"/>
        </w:rPr>
        <w:t xml:space="preserve"> submission</w:t>
      </w:r>
      <w:r>
        <w:rPr>
          <w:lang w:val="en-US"/>
        </w:rPr>
        <w:t xml:space="preserve"> of questions</w:t>
      </w:r>
      <w:r w:rsidR="008F4ADE">
        <w:rPr>
          <w:lang w:val="en-US"/>
        </w:rPr>
        <w:t xml:space="preserve"> is </w:t>
      </w:r>
      <w:r w:rsidR="008F4ADE" w:rsidRPr="00BF48CC">
        <w:rPr>
          <w:lang w:val="en-US"/>
        </w:rPr>
        <w:t>Friday</w:t>
      </w:r>
      <w:r w:rsidR="008F4ADE" w:rsidRPr="00BF48CC">
        <w:t xml:space="preserve">, </w:t>
      </w:r>
      <w:r w:rsidR="008F4ADE" w:rsidRPr="00BF48CC">
        <w:rPr>
          <w:lang w:val="en-US"/>
        </w:rPr>
        <w:t>24</w:t>
      </w:r>
      <w:r w:rsidR="008F4ADE" w:rsidRPr="00BF48CC">
        <w:t xml:space="preserve"> </w:t>
      </w:r>
      <w:proofErr w:type="gramStart"/>
      <w:r w:rsidR="008F4ADE" w:rsidRPr="00BF48CC">
        <w:rPr>
          <w:lang w:val="en-US"/>
        </w:rPr>
        <w:t>January</w:t>
      </w:r>
      <w:r w:rsidR="008F4ADE" w:rsidRPr="00BF48CC">
        <w:t>,</w:t>
      </w:r>
      <w:proofErr w:type="gramEnd"/>
      <w:r w:rsidR="008F4ADE" w:rsidRPr="00BF48CC">
        <w:t xml:space="preserve"> 20</w:t>
      </w:r>
      <w:r w:rsidR="008F4ADE" w:rsidRPr="00BF48CC">
        <w:rPr>
          <w:lang w:val="en-US"/>
        </w:rPr>
        <w:t>20</w:t>
      </w:r>
      <w:r w:rsidR="008F4ADE" w:rsidRPr="00BF48CC">
        <w:t xml:space="preserve"> at 1</w:t>
      </w:r>
      <w:r w:rsidR="008F4ADE" w:rsidRPr="00BF48CC">
        <w:rPr>
          <w:lang w:val="en-US"/>
        </w:rPr>
        <w:t>7</w:t>
      </w:r>
      <w:r w:rsidR="008F4ADE" w:rsidRPr="00BF48CC">
        <w:t>:00 Kyiv</w:t>
      </w:r>
      <w:r w:rsidR="008F4ADE" w:rsidRPr="00BF48CC">
        <w:rPr>
          <w:lang w:val="en-US"/>
        </w:rPr>
        <w:t xml:space="preserve"> time</w:t>
      </w:r>
      <w:r w:rsidR="00454DFC">
        <w:rPr>
          <w:b/>
          <w:lang w:val="en-US"/>
        </w:rPr>
        <w:t>.</w:t>
      </w:r>
    </w:p>
    <w:p w:rsidR="00454DFC" w:rsidRPr="008F4ADE" w:rsidRDefault="00454DFC" w:rsidP="00026894">
      <w:pPr>
        <w:tabs>
          <w:tab w:val="left" w:pos="6630"/>
          <w:tab w:val="left" w:pos="9120"/>
        </w:tabs>
        <w:spacing w:after="0" w:line="240" w:lineRule="auto"/>
        <w:jc w:val="both"/>
        <w:rPr>
          <w:lang w:val="en-US"/>
        </w:rPr>
      </w:pPr>
    </w:p>
    <w:p w:rsidR="00026894" w:rsidRDefault="00026894" w:rsidP="00026894">
      <w:pPr>
        <w:numPr>
          <w:ilvl w:val="0"/>
          <w:numId w:val="11"/>
        </w:numPr>
        <w:spacing w:after="0" w:line="240" w:lineRule="auto"/>
        <w:ind w:left="360" w:hanging="360"/>
        <w:jc w:val="both"/>
        <w:rPr>
          <w:b/>
        </w:rPr>
      </w:pPr>
      <w:r>
        <w:rPr>
          <w:b/>
        </w:rPr>
        <w:t>Content of quotations</w:t>
      </w:r>
    </w:p>
    <w:p w:rsidR="00026894" w:rsidRDefault="00026894" w:rsidP="00026894">
      <w:pPr>
        <w:tabs>
          <w:tab w:val="left" w:pos="6630"/>
          <w:tab w:val="left" w:pos="9120"/>
        </w:tabs>
        <w:spacing w:after="0" w:line="240" w:lineRule="auto"/>
      </w:pPr>
      <w:r>
        <w:t xml:space="preserve">Quotations should be submitted in a single e-mail whenever possible, depending on file size. </w:t>
      </w:r>
    </w:p>
    <w:p w:rsidR="00026894" w:rsidRDefault="00026894" w:rsidP="00026894">
      <w:pPr>
        <w:tabs>
          <w:tab w:val="left" w:pos="6630"/>
          <w:tab w:val="left" w:pos="9120"/>
        </w:tabs>
        <w:spacing w:after="0" w:line="240" w:lineRule="auto"/>
      </w:pPr>
      <w:r>
        <w:t>Quotations must contain:</w:t>
      </w:r>
    </w:p>
    <w:p w:rsidR="00026894" w:rsidRDefault="00026894" w:rsidP="00026894">
      <w:pPr>
        <w:tabs>
          <w:tab w:val="left" w:pos="6630"/>
          <w:tab w:val="left" w:pos="9120"/>
        </w:tabs>
        <w:spacing w:after="0" w:line="240" w:lineRule="auto"/>
      </w:pPr>
    </w:p>
    <w:p w:rsidR="00026894" w:rsidRDefault="00026894" w:rsidP="00026894">
      <w:pPr>
        <w:tabs>
          <w:tab w:val="left" w:pos="6630"/>
          <w:tab w:val="left" w:pos="9120"/>
        </w:tabs>
        <w:spacing w:after="0" w:line="240" w:lineRule="auto"/>
      </w:pPr>
      <w:r>
        <w:t>a) Technical proposal have to contain the information that would provide evidence for proposal evaluation due to the criteria as well as information about the legal entity.</w:t>
      </w:r>
    </w:p>
    <w:p w:rsidR="00026894" w:rsidRDefault="00026894" w:rsidP="00026894">
      <w:pPr>
        <w:tabs>
          <w:tab w:val="left" w:pos="6630"/>
          <w:tab w:val="left" w:pos="9120"/>
        </w:tabs>
        <w:spacing w:after="0" w:line="240" w:lineRule="auto"/>
      </w:pPr>
      <w:r>
        <w:t>The Technical Bid must be submitted by electronic method of transmission at the email address indicated in the section IV.</w:t>
      </w:r>
    </w:p>
    <w:p w:rsidR="00026894" w:rsidRDefault="00026894" w:rsidP="00026894">
      <w:pPr>
        <w:tabs>
          <w:tab w:val="left" w:pos="6630"/>
          <w:tab w:val="left" w:pos="9120"/>
        </w:tabs>
        <w:spacing w:after="0" w:line="240" w:lineRule="auto"/>
      </w:pPr>
      <w:r>
        <w:t xml:space="preserve">b) Price quotation with proposed budgets should be submitted strictly in accordance with the price quotation form. </w:t>
      </w:r>
    </w:p>
    <w:p w:rsidR="00026894" w:rsidRDefault="00026894" w:rsidP="00026894">
      <w:pPr>
        <w:tabs>
          <w:tab w:val="left" w:pos="6630"/>
          <w:tab w:val="left" w:pos="9120"/>
        </w:tabs>
        <w:spacing w:after="0" w:line="240" w:lineRule="auto"/>
      </w:pPr>
      <w:r>
        <w:t>c) Language of the proposal – English or Ukrainian.</w:t>
      </w:r>
    </w:p>
    <w:p w:rsidR="00026894" w:rsidRDefault="00026894" w:rsidP="00026894">
      <w:pPr>
        <w:tabs>
          <w:tab w:val="left" w:pos="6630"/>
          <w:tab w:val="left" w:pos="9120"/>
        </w:tabs>
        <w:spacing w:after="0" w:line="240" w:lineRule="auto"/>
        <w:rPr>
          <w:b/>
        </w:rPr>
      </w:pPr>
      <w:r>
        <w:t xml:space="preserve">d) </w:t>
      </w:r>
      <w:r>
        <w:rPr>
          <w:b/>
        </w:rPr>
        <w:t>Separate Technical Proposal and Financial Proposal should be signed by the bidding company’s relevant authority and to be submitted in pdf format;</w:t>
      </w:r>
    </w:p>
    <w:p w:rsidR="00026894" w:rsidRDefault="00026894" w:rsidP="00026894">
      <w:pPr>
        <w:tabs>
          <w:tab w:val="left" w:pos="6630"/>
          <w:tab w:val="left" w:pos="9120"/>
        </w:tabs>
        <w:spacing w:after="0" w:line="240" w:lineRule="auto"/>
      </w:pPr>
    </w:p>
    <w:p w:rsidR="00026894" w:rsidRDefault="00026894" w:rsidP="00026894">
      <w:pPr>
        <w:numPr>
          <w:ilvl w:val="0"/>
          <w:numId w:val="12"/>
        </w:numPr>
        <w:spacing w:after="0" w:line="240" w:lineRule="auto"/>
        <w:ind w:left="360" w:hanging="360"/>
        <w:jc w:val="both"/>
        <w:rPr>
          <w:b/>
        </w:rPr>
      </w:pPr>
      <w:r>
        <w:rPr>
          <w:b/>
        </w:rPr>
        <w:t xml:space="preserve">Instructions for submission </w:t>
      </w:r>
    </w:p>
    <w:p w:rsidR="00026894" w:rsidRDefault="00026894" w:rsidP="00026894">
      <w:pPr>
        <w:spacing w:after="0" w:line="240" w:lineRule="auto"/>
        <w:ind w:firstLine="360"/>
        <w:jc w:val="both"/>
      </w:pPr>
      <w:r>
        <w:t xml:space="preserve">Proposals should be prepared based on the guidelines set forth in Section IV and III, along with a properly filled out and signed price quotation form, are to be sent by e-mail to the </w:t>
      </w:r>
      <w:r w:rsidR="002225AD">
        <w:rPr>
          <w:lang w:val="en-US"/>
        </w:rPr>
        <w:t xml:space="preserve">secured e-mail and </w:t>
      </w:r>
      <w:r>
        <w:t xml:space="preserve">contact person indicated below no later than: </w:t>
      </w:r>
      <w:r w:rsidR="008F4ADE" w:rsidRPr="008F4ADE">
        <w:rPr>
          <w:b/>
          <w:lang w:val="en-US"/>
        </w:rPr>
        <w:t>Tuesday</w:t>
      </w:r>
      <w:r w:rsidRPr="008F4ADE">
        <w:rPr>
          <w:b/>
        </w:rPr>
        <w:t xml:space="preserve">, </w:t>
      </w:r>
      <w:r w:rsidR="008F4ADE" w:rsidRPr="008F4ADE">
        <w:rPr>
          <w:b/>
          <w:lang w:val="en-US"/>
        </w:rPr>
        <w:t>28</w:t>
      </w:r>
      <w:r w:rsidRPr="008F4ADE">
        <w:rPr>
          <w:b/>
        </w:rPr>
        <w:t xml:space="preserve"> </w:t>
      </w:r>
      <w:r w:rsidR="008F4ADE" w:rsidRPr="008F4ADE">
        <w:rPr>
          <w:b/>
          <w:lang w:val="en-US"/>
        </w:rPr>
        <w:t>January</w:t>
      </w:r>
      <w:r w:rsidRPr="008F4ADE">
        <w:rPr>
          <w:b/>
        </w:rPr>
        <w:t>, 20</w:t>
      </w:r>
      <w:r w:rsidR="008F4ADE" w:rsidRPr="008F4ADE">
        <w:rPr>
          <w:b/>
          <w:lang w:val="en-US"/>
        </w:rPr>
        <w:t>20</w:t>
      </w:r>
      <w:r w:rsidRPr="008F4ADE">
        <w:rPr>
          <w:b/>
        </w:rPr>
        <w:t xml:space="preserve"> at 10:00 Kyiv</w:t>
      </w:r>
      <w:r w:rsidR="008F4ADE">
        <w:rPr>
          <w:b/>
          <w:lang w:val="en-US"/>
        </w:rPr>
        <w:t xml:space="preserve"> time</w:t>
      </w:r>
      <w:r w:rsidRPr="008F4ADE">
        <w:t>.</w:t>
      </w:r>
      <w:r>
        <w:t xml:space="preserve"> Proposals sent to any other address will not be considered.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W w:w="0" w:type="auto"/>
        <w:jc w:val="center"/>
        <w:tblCellMar>
          <w:left w:w="10" w:type="dxa"/>
          <w:right w:w="10" w:type="dxa"/>
        </w:tblCellMar>
        <w:tblLook w:val="0000" w:firstRow="0" w:lastRow="0" w:firstColumn="0" w:lastColumn="0" w:noHBand="0" w:noVBand="0"/>
      </w:tblPr>
      <w:tblGrid>
        <w:gridCol w:w="3510"/>
        <w:gridCol w:w="5012"/>
      </w:tblGrid>
      <w:tr w:rsidR="00026894" w:rsidTr="00421C6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Name of contact person at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26894" w:rsidRPr="002225AD" w:rsidRDefault="002225AD" w:rsidP="00421C69">
            <w:pPr>
              <w:spacing w:after="0" w:line="240" w:lineRule="auto"/>
              <w:rPr>
                <w:lang w:val="en-US"/>
              </w:rPr>
            </w:pPr>
            <w:r>
              <w:rPr>
                <w:i/>
                <w:lang w:val="en-US"/>
              </w:rPr>
              <w:t>Iryna Bohun</w:t>
            </w:r>
          </w:p>
        </w:tc>
      </w:tr>
      <w:tr w:rsidR="00026894" w:rsidRPr="003350CB" w:rsidTr="00421C69">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Email address of contact person:</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26894" w:rsidRDefault="00454DFC" w:rsidP="00421C69">
            <w:pPr>
              <w:spacing w:after="0" w:line="240" w:lineRule="auto"/>
            </w:pPr>
            <w:r>
              <w:rPr>
                <w:b/>
              </w:rPr>
              <w:t>ua</w:t>
            </w:r>
            <w:r>
              <w:rPr>
                <w:b/>
                <w:lang w:val="en-US"/>
              </w:rPr>
              <w:t>-procurement</w:t>
            </w:r>
            <w:r w:rsidR="00026894">
              <w:rPr>
                <w:b/>
              </w:rPr>
              <w:t>@unfpa.org</w:t>
            </w:r>
          </w:p>
        </w:tc>
      </w:tr>
    </w:tbl>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350CB" w:rsidRDefault="003350CB"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BF48CC" w:rsidRDefault="00BF48CC"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rsidRPr="003350CB">
        <w:lastRenderedPageBreak/>
        <w:t>Please note the following guidelines for electronic submissions:</w:t>
      </w:r>
    </w:p>
    <w:p w:rsidR="00026894" w:rsidRDefault="00026894" w:rsidP="00026894">
      <w:pPr>
        <w:numPr>
          <w:ilvl w:val="0"/>
          <w:numId w:val="13"/>
        </w:numPr>
        <w:spacing w:after="0" w:line="240" w:lineRule="auto"/>
        <w:ind w:left="360" w:hanging="360"/>
        <w:jc w:val="both"/>
        <w:rPr>
          <w:b/>
        </w:rPr>
      </w:pPr>
      <w:r>
        <w:t xml:space="preserve">The following reference must be included in the email subject line: </w:t>
      </w:r>
      <w:r>
        <w:rPr>
          <w:b/>
        </w:rPr>
        <w:t>RFQ Nº UNFPA/UKR/RFQ/20/</w:t>
      </w:r>
      <w:r w:rsidRPr="003350CB">
        <w:rPr>
          <w:b/>
        </w:rPr>
        <w:t>0</w:t>
      </w:r>
      <w:r w:rsidR="003350CB" w:rsidRPr="003350CB">
        <w:rPr>
          <w:b/>
          <w:lang w:val="en-US"/>
        </w:rPr>
        <w:t>3</w:t>
      </w:r>
      <w:r>
        <w:rPr>
          <w:b/>
        </w:rPr>
        <w:t xml:space="preserve">. </w:t>
      </w:r>
      <w:r>
        <w:t>Proposals that do not contain the correct email subject line may be overlooked by the procurement officer and therefore not considered.</w:t>
      </w:r>
    </w:p>
    <w:p w:rsidR="00026894" w:rsidRDefault="00026894" w:rsidP="00026894">
      <w:pPr>
        <w:numPr>
          <w:ilvl w:val="0"/>
          <w:numId w:val="13"/>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pPr>
      <w:r>
        <w:t xml:space="preserve">The total e-mail size may not exceed </w:t>
      </w:r>
      <w:r>
        <w:rPr>
          <w:b/>
        </w:rPr>
        <w:t>20 MB (including e-mail body, encoded attachments and headers)</w:t>
      </w:r>
      <w:r>
        <w:t xml:space="preserve">. Where the technical details are in large electronic files, it is recommended that these be sent separately before the deadline.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26894" w:rsidRDefault="00026894" w:rsidP="00026894">
      <w:pPr>
        <w:numPr>
          <w:ilvl w:val="0"/>
          <w:numId w:val="14"/>
        </w:numPr>
        <w:spacing w:after="0" w:line="240" w:lineRule="auto"/>
        <w:ind w:left="360" w:hanging="360"/>
        <w:jc w:val="both"/>
        <w:rPr>
          <w:b/>
        </w:rPr>
      </w:pPr>
      <w:r>
        <w:rPr>
          <w:b/>
        </w:rPr>
        <w:t>Overview of Evaluation Process</w:t>
      </w:r>
    </w:p>
    <w:p w:rsidR="00026894" w:rsidRDefault="00026894" w:rsidP="00026894">
      <w:pPr>
        <w:spacing w:after="0" w:line="240" w:lineRule="auto"/>
        <w:jc w:val="both"/>
      </w:pPr>
      <w:r>
        <w:t>The evaluation will be carried out in a two-step process by an ad-hoc evaluation panel. Technical proposals will be evaluated and scored first, prior to the evaluation and scoring of price quotations.</w:t>
      </w:r>
    </w:p>
    <w:p w:rsidR="00026894" w:rsidRDefault="00026894" w:rsidP="00026894">
      <w:pPr>
        <w:spacing w:after="0" w:line="240" w:lineRule="auto"/>
        <w:jc w:val="both"/>
        <w:rPr>
          <w:b/>
        </w:rPr>
      </w:pPr>
    </w:p>
    <w:p w:rsidR="00026894" w:rsidRDefault="00026894" w:rsidP="00026894">
      <w:pPr>
        <w:spacing w:after="0" w:line="240" w:lineRule="auto"/>
        <w:jc w:val="both"/>
        <w:rPr>
          <w:b/>
        </w:rPr>
      </w:pPr>
      <w:r>
        <w:rPr>
          <w:b/>
        </w:rPr>
        <w:t>Technical Evaluation (100 points max)</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t xml:space="preserve">Technical proposals will be evaluated based on their responsiveness to the service requirements /TORs listed in Section I and in accordance with the evaluation criteria below.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W w:w="0" w:type="auto"/>
        <w:jc w:val="center"/>
        <w:tblCellMar>
          <w:left w:w="10" w:type="dxa"/>
          <w:right w:w="10" w:type="dxa"/>
        </w:tblCellMar>
        <w:tblLook w:val="0000" w:firstRow="0" w:lastRow="0" w:firstColumn="0" w:lastColumn="0" w:noHBand="0" w:noVBand="0"/>
      </w:tblPr>
      <w:tblGrid>
        <w:gridCol w:w="3453"/>
        <w:gridCol w:w="1130"/>
        <w:gridCol w:w="1268"/>
        <w:gridCol w:w="1111"/>
        <w:gridCol w:w="2668"/>
      </w:tblGrid>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after="0" w:line="240" w:lineRule="auto"/>
              <w:jc w:val="center"/>
            </w:pPr>
            <w:r>
              <w:rPr>
                <w:b/>
              </w:rPr>
              <w:t>Criteria</w:t>
            </w:r>
          </w:p>
        </w:tc>
        <w:tc>
          <w:tcPr>
            <w:tcW w:w="1131"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before="60" w:after="60" w:line="240" w:lineRule="auto"/>
              <w:jc w:val="center"/>
            </w:pPr>
            <w:r>
              <w:t>[A] Maximum Points</w:t>
            </w:r>
          </w:p>
        </w:tc>
        <w:tc>
          <w:tcPr>
            <w:tcW w:w="1293"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before="60" w:after="60" w:line="240" w:lineRule="auto"/>
              <w:jc w:val="center"/>
            </w:pPr>
            <w:r>
              <w:t>[B]</w:t>
            </w:r>
          </w:p>
          <w:p w:rsidR="00026894" w:rsidRDefault="00026894" w:rsidP="00421C69">
            <w:pPr>
              <w:spacing w:before="60" w:after="60" w:line="240" w:lineRule="auto"/>
              <w:jc w:val="center"/>
            </w:pPr>
            <w:r>
              <w:t>Points attained by Bidder</w:t>
            </w:r>
          </w:p>
        </w:tc>
        <w:tc>
          <w:tcPr>
            <w:tcW w:w="1132"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before="60" w:after="60" w:line="240" w:lineRule="auto"/>
              <w:jc w:val="center"/>
            </w:pPr>
            <w:r>
              <w:t>[C]</w:t>
            </w:r>
          </w:p>
          <w:p w:rsidR="00026894" w:rsidRDefault="00026894" w:rsidP="00421C69">
            <w:pPr>
              <w:spacing w:before="60" w:after="60" w:line="240" w:lineRule="auto"/>
              <w:jc w:val="center"/>
            </w:pPr>
            <w:r>
              <w:t>Weight (%)</w:t>
            </w:r>
          </w:p>
        </w:tc>
        <w:tc>
          <w:tcPr>
            <w:tcW w:w="2828" w:type="dxa"/>
            <w:tcBorders>
              <w:top w:val="single" w:sz="6" w:space="0" w:color="000080"/>
              <w:left w:val="single" w:sz="6" w:space="0" w:color="00008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before="60" w:after="60" w:line="240" w:lineRule="auto"/>
              <w:jc w:val="center"/>
            </w:pPr>
            <w:r>
              <w:t>[B] x [C] = [D]</w:t>
            </w:r>
          </w:p>
          <w:p w:rsidR="00026894" w:rsidRDefault="00026894" w:rsidP="00421C69">
            <w:pPr>
              <w:spacing w:before="60" w:after="60" w:line="240" w:lineRule="auto"/>
              <w:jc w:val="center"/>
            </w:pPr>
            <w:r>
              <w:t>Total Points</w:t>
            </w: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026894" w:rsidRDefault="005229F2" w:rsidP="00421C69">
            <w:pPr>
              <w:spacing w:after="0" w:line="280" w:lineRule="auto"/>
              <w:jc w:val="both"/>
            </w:pPr>
            <w:r>
              <w:rPr>
                <w:shd w:val="clear" w:color="auto" w:fill="FFFFFF"/>
                <w:lang w:val="en-US"/>
              </w:rPr>
              <w:t>Corresponding</w:t>
            </w:r>
            <w:r w:rsidR="00026894">
              <w:rPr>
                <w:shd w:val="clear" w:color="auto" w:fill="FFFFFF"/>
              </w:rPr>
              <w:t xml:space="preserve"> of the proposed style of future products to the ToR</w:t>
            </w:r>
          </w:p>
        </w:tc>
        <w:tc>
          <w:tcPr>
            <w:tcW w:w="113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100</w:t>
            </w:r>
          </w:p>
        </w:tc>
        <w:tc>
          <w:tcPr>
            <w:tcW w:w="129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40%</w:t>
            </w:r>
          </w:p>
        </w:tc>
        <w:tc>
          <w:tcPr>
            <w:tcW w:w="2828"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026894" w:rsidRDefault="00026894" w:rsidP="00421C69">
            <w:pPr>
              <w:spacing w:after="0" w:line="280" w:lineRule="auto"/>
              <w:jc w:val="both"/>
            </w:pPr>
            <w:r>
              <w:t>Experience in design and video solutions for achieving the results</w:t>
            </w:r>
          </w:p>
          <w:p w:rsidR="00026894" w:rsidRPr="004712B7" w:rsidRDefault="00026894" w:rsidP="00026894">
            <w:pPr>
              <w:pStyle w:val="ListParagraph"/>
              <w:numPr>
                <w:ilvl w:val="0"/>
                <w:numId w:val="29"/>
              </w:numPr>
              <w:spacing w:after="0" w:line="280" w:lineRule="auto"/>
              <w:jc w:val="both"/>
            </w:pPr>
            <w:r w:rsidRPr="004712B7">
              <w:t xml:space="preserve">Samples of three previous animated videos and </w:t>
            </w:r>
            <w:r>
              <w:t xml:space="preserve">static </w:t>
            </w:r>
            <w:r w:rsidRPr="004712B7">
              <w:t>infographics</w:t>
            </w:r>
          </w:p>
        </w:tc>
        <w:tc>
          <w:tcPr>
            <w:tcW w:w="113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100</w:t>
            </w:r>
          </w:p>
        </w:tc>
        <w:tc>
          <w:tcPr>
            <w:tcW w:w="129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35%</w:t>
            </w:r>
          </w:p>
        </w:tc>
        <w:tc>
          <w:tcPr>
            <w:tcW w:w="2828"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026894" w:rsidRDefault="00026894" w:rsidP="00421C69">
            <w:pPr>
              <w:spacing w:after="0" w:line="280" w:lineRule="auto"/>
              <w:jc w:val="both"/>
              <w:rPr>
                <w:shd w:val="clear" w:color="auto" w:fill="FFFFFF"/>
              </w:rPr>
            </w:pPr>
            <w:r>
              <w:rPr>
                <w:shd w:val="clear" w:color="auto" w:fill="FFFFFF"/>
              </w:rPr>
              <w:t>Specific experience and expertise relevant to the assignment:</w:t>
            </w:r>
          </w:p>
          <w:p w:rsidR="00026894" w:rsidRDefault="00026894" w:rsidP="00026894">
            <w:pPr>
              <w:numPr>
                <w:ilvl w:val="0"/>
                <w:numId w:val="15"/>
              </w:numPr>
              <w:spacing w:after="0" w:line="280" w:lineRule="auto"/>
              <w:ind w:left="405" w:hanging="360"/>
              <w:jc w:val="both"/>
            </w:pPr>
            <w:r>
              <w:t>History of organization, its general reputation, competence and reliability;</w:t>
            </w:r>
          </w:p>
          <w:p w:rsidR="00026894" w:rsidRPr="004712B7" w:rsidRDefault="00026894" w:rsidP="00026894">
            <w:pPr>
              <w:numPr>
                <w:ilvl w:val="0"/>
                <w:numId w:val="15"/>
              </w:numPr>
              <w:spacing w:after="0" w:line="280" w:lineRule="auto"/>
              <w:ind w:left="405" w:hanging="360"/>
              <w:jc w:val="both"/>
            </w:pPr>
            <w:r>
              <w:t>List of previous clients;</w:t>
            </w:r>
          </w:p>
        </w:tc>
        <w:tc>
          <w:tcPr>
            <w:tcW w:w="113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100</w:t>
            </w:r>
          </w:p>
        </w:tc>
        <w:tc>
          <w:tcPr>
            <w:tcW w:w="129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w:t>
            </w:r>
          </w:p>
        </w:tc>
        <w:tc>
          <w:tcPr>
            <w:tcW w:w="2828"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026894" w:rsidRDefault="00026894" w:rsidP="00421C69">
            <w:pPr>
              <w:spacing w:after="0" w:line="280" w:lineRule="auto"/>
              <w:jc w:val="both"/>
              <w:rPr>
                <w:shd w:val="clear" w:color="auto" w:fill="FFFFFF"/>
              </w:rPr>
            </w:pPr>
            <w:r>
              <w:rPr>
                <w:shd w:val="clear" w:color="auto" w:fill="FFFFFF"/>
              </w:rPr>
              <w:t>Qualification and availability of specialists for the execution of a given volume of work:</w:t>
            </w:r>
          </w:p>
          <w:p w:rsidR="00026894" w:rsidRDefault="00026894" w:rsidP="00026894">
            <w:pPr>
              <w:numPr>
                <w:ilvl w:val="0"/>
                <w:numId w:val="16"/>
              </w:numPr>
              <w:spacing w:after="0" w:line="280" w:lineRule="auto"/>
              <w:ind w:left="405" w:hanging="360"/>
              <w:jc w:val="both"/>
            </w:pPr>
            <w:r>
              <w:rPr>
                <w:shd w:val="clear" w:color="auto" w:fill="FFFFFF"/>
              </w:rPr>
              <w:t>Experience of managers and other personnel;</w:t>
            </w:r>
          </w:p>
          <w:p w:rsidR="00026894" w:rsidRDefault="00026894" w:rsidP="00026894">
            <w:pPr>
              <w:numPr>
                <w:ilvl w:val="0"/>
                <w:numId w:val="16"/>
              </w:numPr>
              <w:spacing w:after="0" w:line="280" w:lineRule="auto"/>
              <w:ind w:left="405" w:hanging="360"/>
              <w:jc w:val="both"/>
            </w:pPr>
            <w:r>
              <w:rPr>
                <w:shd w:val="clear" w:color="auto" w:fill="FFFFFF"/>
              </w:rPr>
              <w:t>Availability of focal contact person;</w:t>
            </w:r>
          </w:p>
        </w:tc>
        <w:tc>
          <w:tcPr>
            <w:tcW w:w="113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100</w:t>
            </w:r>
          </w:p>
        </w:tc>
        <w:tc>
          <w:tcPr>
            <w:tcW w:w="129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w:t>
            </w:r>
          </w:p>
        </w:tc>
        <w:tc>
          <w:tcPr>
            <w:tcW w:w="2828"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tcPr>
          <w:p w:rsidR="00026894" w:rsidRDefault="00026894" w:rsidP="00421C69">
            <w:pPr>
              <w:spacing w:after="0" w:line="280" w:lineRule="auto"/>
            </w:pPr>
            <w:r>
              <w:t>Proving track record in serving international / multinational organizations.</w:t>
            </w:r>
          </w:p>
        </w:tc>
        <w:tc>
          <w:tcPr>
            <w:tcW w:w="1131"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100</w:t>
            </w:r>
          </w:p>
        </w:tc>
        <w:tc>
          <w:tcPr>
            <w:tcW w:w="1293"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r>
              <w:t>5%</w:t>
            </w:r>
          </w:p>
        </w:tc>
        <w:tc>
          <w:tcPr>
            <w:tcW w:w="2828" w:type="dxa"/>
            <w:tcBorders>
              <w:top w:val="single" w:sz="6" w:space="0" w:color="000080"/>
              <w:left w:val="single" w:sz="6" w:space="0" w:color="000080"/>
              <w:bottom w:val="single" w:sz="6" w:space="0" w:color="000080"/>
              <w:right w:val="single" w:sz="6" w:space="0" w:color="000080"/>
            </w:tcBorders>
            <w:shd w:val="clear" w:color="000000" w:fill="FFFFFF"/>
            <w:tcMar>
              <w:left w:w="108" w:type="dxa"/>
              <w:right w:w="108" w:type="dxa"/>
            </w:tcMar>
            <w:vAlign w:val="center"/>
          </w:tcPr>
          <w:p w:rsidR="00026894" w:rsidRDefault="00026894" w:rsidP="00421C69">
            <w:pPr>
              <w:spacing w:before="60" w:after="60" w:line="240" w:lineRule="auto"/>
              <w:jc w:val="center"/>
            </w:pPr>
          </w:p>
        </w:tc>
      </w:tr>
      <w:tr w:rsidR="00026894" w:rsidTr="00421C69">
        <w:trPr>
          <w:jc w:val="center"/>
        </w:trPr>
        <w:tc>
          <w:tcPr>
            <w:tcW w:w="357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26894" w:rsidRDefault="00026894" w:rsidP="00421C69">
            <w:pPr>
              <w:spacing w:before="60" w:after="60" w:line="240" w:lineRule="auto"/>
              <w:jc w:val="right"/>
            </w:pPr>
            <w:r>
              <w:rPr>
                <w:b/>
                <w:i/>
              </w:rPr>
              <w:t>Grand Total All Criteria</w:t>
            </w:r>
          </w:p>
        </w:tc>
        <w:tc>
          <w:tcPr>
            <w:tcW w:w="1131"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26894" w:rsidRDefault="00026894" w:rsidP="00421C69">
            <w:pPr>
              <w:spacing w:before="60" w:after="60" w:line="240" w:lineRule="auto"/>
              <w:jc w:val="center"/>
            </w:pPr>
            <w:r>
              <w:rPr>
                <w:b/>
              </w:rPr>
              <w:t>500</w:t>
            </w:r>
          </w:p>
        </w:tc>
        <w:tc>
          <w:tcPr>
            <w:tcW w:w="1293"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26894" w:rsidRDefault="00026894" w:rsidP="00421C69">
            <w:pPr>
              <w:spacing w:before="60" w:after="60" w:line="240" w:lineRule="auto"/>
            </w:pPr>
          </w:p>
        </w:tc>
        <w:tc>
          <w:tcPr>
            <w:tcW w:w="1132"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26894" w:rsidRDefault="00026894" w:rsidP="00421C69">
            <w:pPr>
              <w:spacing w:before="60" w:after="60" w:line="240" w:lineRule="auto"/>
              <w:jc w:val="center"/>
            </w:pPr>
            <w:r>
              <w:rPr>
                <w:b/>
              </w:rPr>
              <w:t>100%</w:t>
            </w:r>
          </w:p>
        </w:tc>
        <w:tc>
          <w:tcPr>
            <w:tcW w:w="2828" w:type="dxa"/>
            <w:tcBorders>
              <w:top w:val="single" w:sz="6" w:space="0" w:color="000080"/>
              <w:left w:val="single" w:sz="6" w:space="0" w:color="000080"/>
              <w:bottom w:val="single" w:sz="6" w:space="0" w:color="000080"/>
              <w:right w:val="single" w:sz="6" w:space="0" w:color="000080"/>
            </w:tcBorders>
            <w:shd w:val="clear" w:color="auto" w:fill="C0C0C0"/>
            <w:tcMar>
              <w:left w:w="108" w:type="dxa"/>
              <w:right w:w="108" w:type="dxa"/>
            </w:tcMar>
            <w:vAlign w:val="center"/>
          </w:tcPr>
          <w:p w:rsidR="00026894" w:rsidRDefault="00026894" w:rsidP="00421C69">
            <w:pPr>
              <w:spacing w:before="60" w:after="60" w:line="240" w:lineRule="auto"/>
              <w:jc w:val="center"/>
            </w:pPr>
          </w:p>
        </w:tc>
      </w:tr>
    </w:tbl>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350CB" w:rsidRDefault="003350CB"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350CB" w:rsidRDefault="003350CB"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3350CB" w:rsidRDefault="003350CB"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r>
        <w:lastRenderedPageBreak/>
        <w:t xml:space="preserve">The following scoring scale will be used to ensure objective evaluation: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tbl>
      <w:tblPr>
        <w:tblW w:w="0" w:type="auto"/>
        <w:jc w:val="center"/>
        <w:tblCellMar>
          <w:left w:w="10" w:type="dxa"/>
          <w:right w:w="10" w:type="dxa"/>
        </w:tblCellMar>
        <w:tblLook w:val="0000" w:firstRow="0" w:lastRow="0" w:firstColumn="0" w:lastColumn="0" w:noHBand="0" w:noVBand="0"/>
      </w:tblPr>
      <w:tblGrid>
        <w:gridCol w:w="6505"/>
        <w:gridCol w:w="2045"/>
      </w:tblGrid>
      <w:tr w:rsidR="00026894" w:rsidTr="00421C69">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rPr>
                <w:b/>
              </w:rPr>
              <w:t>Degree to which the Terms of Reference requirements are met based on evidence included in the Bid submitted</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rsidR="00026894" w:rsidRDefault="00026894" w:rsidP="00421C69">
            <w:pPr>
              <w:spacing w:after="0" w:line="240" w:lineRule="auto"/>
              <w:jc w:val="center"/>
              <w:rPr>
                <w:b/>
              </w:rPr>
            </w:pPr>
            <w:r>
              <w:rPr>
                <w:b/>
              </w:rPr>
              <w:t xml:space="preserve">Points </w:t>
            </w:r>
          </w:p>
          <w:p w:rsidR="00026894" w:rsidRDefault="00026894" w:rsidP="00421C69">
            <w:pPr>
              <w:spacing w:after="0" w:line="240" w:lineRule="auto"/>
              <w:jc w:val="center"/>
            </w:pPr>
            <w:r>
              <w:rPr>
                <w:b/>
              </w:rPr>
              <w:t>out of 100</w:t>
            </w:r>
          </w:p>
        </w:tc>
      </w:tr>
      <w:tr w:rsidR="00026894" w:rsidTr="00421C69">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pPr>
            <w:r>
              <w:t>Significantly exceeds the requirements</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jc w:val="center"/>
            </w:pPr>
            <w:r>
              <w:t>90 – 100</w:t>
            </w:r>
          </w:p>
        </w:tc>
      </w:tr>
      <w:tr w:rsidR="00026894" w:rsidTr="00421C69">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pPr>
            <w:r>
              <w:t>Exceeds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jc w:val="center"/>
            </w:pPr>
            <w:r>
              <w:t xml:space="preserve">80 – 89 </w:t>
            </w:r>
          </w:p>
        </w:tc>
      </w:tr>
      <w:tr w:rsidR="00026894" w:rsidTr="00421C69">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pPr>
            <w:r>
              <w:t>Meets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jc w:val="center"/>
            </w:pPr>
            <w:r>
              <w:t>70 – 79</w:t>
            </w:r>
          </w:p>
        </w:tc>
      </w:tr>
      <w:tr w:rsidR="00026894" w:rsidTr="00421C69">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pPr>
            <w:r>
              <w:t>Does not meet the requirements or no information provided to assess compliance with the requirements</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spacing w:after="0" w:line="240" w:lineRule="auto"/>
              <w:jc w:val="center"/>
            </w:pPr>
            <w:r>
              <w:t>0-70</w:t>
            </w:r>
          </w:p>
        </w:tc>
      </w:tr>
    </w:tbl>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rsidR="00026894" w:rsidRDefault="00026894" w:rsidP="00026894">
      <w:pPr>
        <w:tabs>
          <w:tab w:val="left" w:pos="540"/>
        </w:tabs>
        <w:spacing w:after="0" w:line="280" w:lineRule="auto"/>
        <w:jc w:val="both"/>
        <w:rPr>
          <w:b/>
          <w:i/>
        </w:rPr>
      </w:pPr>
      <w:r>
        <w:rPr>
          <w:b/>
        </w:rPr>
        <w:t xml:space="preserve">Only those technical proposals achieving the score of 60 points and above will be considered as qualifying for evaluation of the financial proposal. </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rPr>
      </w:pPr>
      <w:r>
        <w:rPr>
          <w:b/>
        </w:rPr>
        <w:t>Financial Evaluation  (100 points max)</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
        <w:t>Financial proposals should follow the results-based budgeting approach. They will be assessed based on their clarity, completeness, level of detail and appropriateness. The maximum number of points shall be scored to the lowest price proposal among all technically qualifying applications. Other financial proposals will receive scores according to the following formula:</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p>
    <w:tbl>
      <w:tblPr>
        <w:tblW w:w="0" w:type="auto"/>
        <w:jc w:val="center"/>
        <w:tblCellMar>
          <w:left w:w="10" w:type="dxa"/>
          <w:right w:w="10" w:type="dxa"/>
        </w:tblCellMar>
        <w:tblLook w:val="0000" w:firstRow="0" w:lastRow="0" w:firstColumn="0" w:lastColumn="0" w:noHBand="0" w:noVBand="0"/>
      </w:tblPr>
      <w:tblGrid>
        <w:gridCol w:w="1977"/>
        <w:gridCol w:w="2325"/>
        <w:gridCol w:w="2792"/>
      </w:tblGrid>
      <w:tr w:rsidR="00026894" w:rsidTr="00421C69">
        <w:trPr>
          <w:jc w:val="center"/>
        </w:trPr>
        <w:tc>
          <w:tcPr>
            <w:tcW w:w="1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tabs>
                <w:tab w:val="left" w:pos="-1080"/>
              </w:tabs>
              <w:spacing w:after="0" w:line="240" w:lineRule="auto"/>
              <w:jc w:val="both"/>
            </w:pPr>
            <w:r>
              <w:t>Financial score =</w:t>
            </w: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894" w:rsidRDefault="00026894" w:rsidP="00421C69">
            <w:pPr>
              <w:tabs>
                <w:tab w:val="left" w:pos="-1080"/>
              </w:tabs>
              <w:spacing w:after="0" w:line="240" w:lineRule="auto"/>
              <w:jc w:val="center"/>
            </w:pPr>
            <w:r>
              <w:t>Lowest quote ($)</w:t>
            </w:r>
          </w:p>
        </w:tc>
        <w:tc>
          <w:tcPr>
            <w:tcW w:w="27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tabs>
                <w:tab w:val="left" w:pos="-1080"/>
              </w:tabs>
              <w:spacing w:after="0" w:line="240" w:lineRule="auto"/>
              <w:jc w:val="both"/>
            </w:pPr>
            <w:r>
              <w:t>X 100 (Maximum score)</w:t>
            </w:r>
          </w:p>
        </w:tc>
      </w:tr>
      <w:tr w:rsidR="00026894" w:rsidTr="00421C69">
        <w:trPr>
          <w:jc w:val="center"/>
        </w:trPr>
        <w:tc>
          <w:tcPr>
            <w:tcW w:w="1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894" w:rsidRDefault="00026894" w:rsidP="00421C69">
            <w:pPr>
              <w:spacing w:after="200" w:line="276" w:lineRule="auto"/>
            </w:pPr>
          </w:p>
        </w:tc>
        <w:tc>
          <w:tcPr>
            <w:tcW w:w="23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894" w:rsidRDefault="00026894" w:rsidP="00421C69">
            <w:pPr>
              <w:tabs>
                <w:tab w:val="left" w:pos="-1080"/>
              </w:tabs>
              <w:spacing w:after="0" w:line="240" w:lineRule="auto"/>
              <w:jc w:val="center"/>
            </w:pPr>
            <w:r>
              <w:t>Quote being scored ($)</w:t>
            </w:r>
          </w:p>
        </w:tc>
        <w:tc>
          <w:tcPr>
            <w:tcW w:w="27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6894" w:rsidRDefault="00026894" w:rsidP="00421C69">
            <w:pPr>
              <w:spacing w:after="200" w:line="276" w:lineRule="auto"/>
            </w:pPr>
          </w:p>
        </w:tc>
      </w:tr>
    </w:tbl>
    <w:p w:rsidR="00026894" w:rsidRDefault="00026894" w:rsidP="00026894">
      <w:pPr>
        <w:keepNext/>
        <w:keepLines/>
        <w:tabs>
          <w:tab w:val="left" w:pos="-180"/>
          <w:tab w:val="left" w:pos="1980"/>
          <w:tab w:val="left" w:pos="2160"/>
          <w:tab w:val="left" w:pos="4320"/>
        </w:tabs>
        <w:spacing w:before="200" w:after="0" w:line="240" w:lineRule="auto"/>
        <w:rPr>
          <w:b/>
        </w:rPr>
      </w:pPr>
      <w:r>
        <w:rPr>
          <w:b/>
        </w:rPr>
        <w:t>Total score</w:t>
      </w:r>
    </w:p>
    <w:p w:rsidR="00026894" w:rsidRDefault="00026894" w:rsidP="00026894">
      <w:pPr>
        <w:spacing w:after="0" w:line="240" w:lineRule="auto"/>
        <w:jc w:val="both"/>
      </w:pPr>
      <w:r>
        <w:t>The total score of each application will represent the weighted sum of its technical and financial scores as follows:</w:t>
      </w:r>
    </w:p>
    <w:p w:rsidR="00026894" w:rsidRDefault="00026894" w:rsidP="00026894">
      <w:pPr>
        <w:tabs>
          <w:tab w:val="left" w:pos="851"/>
        </w:tabs>
        <w:spacing w:after="0" w:line="276" w:lineRule="auto"/>
        <w:jc w:val="both"/>
      </w:pPr>
    </w:p>
    <w:tbl>
      <w:tblPr>
        <w:tblW w:w="0" w:type="auto"/>
        <w:jc w:val="center"/>
        <w:tblCellMar>
          <w:left w:w="10" w:type="dxa"/>
          <w:right w:w="10" w:type="dxa"/>
        </w:tblCellMar>
        <w:tblLook w:val="0000" w:firstRow="0" w:lastRow="0" w:firstColumn="0" w:lastColumn="0" w:noHBand="0" w:noVBand="0"/>
      </w:tblPr>
      <w:tblGrid>
        <w:gridCol w:w="6523"/>
      </w:tblGrid>
      <w:tr w:rsidR="00026894" w:rsidTr="00421C69">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26894" w:rsidRDefault="00026894" w:rsidP="00421C69">
            <w:pPr>
              <w:tabs>
                <w:tab w:val="left" w:pos="-1080"/>
              </w:tabs>
              <w:spacing w:after="0" w:line="240" w:lineRule="auto"/>
              <w:jc w:val="center"/>
            </w:pPr>
            <w:r>
              <w:t>Total score =70% Technical score + 30% Financial score</w:t>
            </w:r>
          </w:p>
        </w:tc>
      </w:tr>
    </w:tbl>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026894" w:rsidRDefault="00026894" w:rsidP="00026894">
      <w:pPr>
        <w:numPr>
          <w:ilvl w:val="0"/>
          <w:numId w:val="17"/>
        </w:numPr>
        <w:spacing w:after="0" w:line="240" w:lineRule="auto"/>
        <w:ind w:left="360" w:hanging="360"/>
        <w:jc w:val="both"/>
        <w:rPr>
          <w:b/>
        </w:rPr>
      </w:pPr>
      <w:r>
        <w:rPr>
          <w:b/>
        </w:rPr>
        <w:t xml:space="preserve">Award Criteria </w:t>
      </w:r>
    </w:p>
    <w:p w:rsidR="00026894" w:rsidRDefault="008F0927" w:rsidP="00026894">
      <w:pPr>
        <w:spacing w:after="0" w:line="240" w:lineRule="auto"/>
      </w:pPr>
      <w:r w:rsidRPr="008F0927">
        <w:t>UNFPA shall award a Purchase Order/Contract with duration until 31 March 2020 to the offer with the highest overall score.</w:t>
      </w:r>
    </w:p>
    <w:p w:rsidR="008F0927" w:rsidRDefault="008F0927" w:rsidP="00026894">
      <w:pPr>
        <w:spacing w:after="0" w:line="240" w:lineRule="auto"/>
      </w:pPr>
    </w:p>
    <w:p w:rsidR="00026894" w:rsidRDefault="00026894" w:rsidP="00026894">
      <w:pPr>
        <w:numPr>
          <w:ilvl w:val="0"/>
          <w:numId w:val="18"/>
        </w:numPr>
        <w:spacing w:after="0" w:line="240" w:lineRule="auto"/>
        <w:ind w:left="360" w:hanging="360"/>
        <w:jc w:val="both"/>
        <w:rPr>
          <w:b/>
        </w:rPr>
      </w:pPr>
      <w:r>
        <w:rPr>
          <w:b/>
        </w:rPr>
        <w:t xml:space="preserve">Right to Vary Requirements at Time of Award </w:t>
      </w:r>
    </w:p>
    <w:p w:rsidR="00026894" w:rsidRDefault="00026894" w:rsidP="00026894">
      <w:pPr>
        <w:tabs>
          <w:tab w:val="left" w:pos="851"/>
        </w:tabs>
        <w:spacing w:after="0" w:line="276" w:lineRule="auto"/>
        <w:jc w:val="both"/>
      </w:pPr>
      <w:r>
        <w:t>UNFPA reserves the right at the time of award of contract to increase or decrease by up to 20% the volume of services specified in this RFQ without any change in unit prices or other terms and conditions.</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026894" w:rsidRDefault="00026894" w:rsidP="00026894">
      <w:pPr>
        <w:numPr>
          <w:ilvl w:val="0"/>
          <w:numId w:val="19"/>
        </w:numPr>
        <w:spacing w:after="0" w:line="240" w:lineRule="auto"/>
        <w:ind w:left="360" w:hanging="360"/>
        <w:jc w:val="both"/>
        <w:rPr>
          <w:b/>
        </w:rPr>
      </w:pPr>
      <w:r>
        <w:rPr>
          <w:b/>
        </w:rPr>
        <w:t>Payment Terms</w:t>
      </w:r>
    </w:p>
    <w:p w:rsidR="00026894" w:rsidRDefault="00026894" w:rsidP="00026894">
      <w:pPr>
        <w:spacing w:after="0" w:line="240" w:lineRule="auto"/>
        <w:jc w:val="both"/>
      </w:pPr>
      <w:r>
        <w:t xml:space="preserve">The payment will be done in accordance with the above deliverables acceptance of the Contractor's invoice and complete set of supporting documentation. </w:t>
      </w:r>
    </w:p>
    <w:p w:rsidR="00026894" w:rsidRDefault="00026894" w:rsidP="00026894">
      <w:pPr>
        <w:spacing w:after="0" w:line="240" w:lineRule="auto"/>
        <w:jc w:val="both"/>
      </w:pPr>
    </w:p>
    <w:p w:rsidR="00026894" w:rsidRDefault="00026894" w:rsidP="00026894">
      <w:pPr>
        <w:spacing w:after="0" w:line="240" w:lineRule="auto"/>
        <w:jc w:val="both"/>
      </w:pPr>
      <w:r>
        <w:t xml:space="preserve">The payment will be done in currency: Ukrainian Hryvnias. In case of two currencies involved, the United Nations Operational Rate of Exchange should be used on the day UNFPA instructs that payment(s) (web: </w:t>
      </w:r>
      <w:hyperlink r:id="rId13">
        <w:r>
          <w:rPr>
            <w:color w:val="003366"/>
            <w:u w:val="single"/>
          </w:rPr>
          <w:t>www.treasury.un.org</w:t>
        </w:r>
      </w:hyperlink>
      <w:r>
        <w:t>).</w:t>
      </w:r>
    </w:p>
    <w:p w:rsidR="00026894" w:rsidRDefault="00026894" w:rsidP="00026894">
      <w:pPr>
        <w:spacing w:after="0" w:line="240" w:lineRule="auto"/>
        <w:jc w:val="both"/>
      </w:pPr>
    </w:p>
    <w:p w:rsidR="00026894" w:rsidRDefault="00026894" w:rsidP="00026894">
      <w:pPr>
        <w:spacing w:after="0" w:line="240" w:lineRule="auto"/>
        <w:ind w:firstLine="708"/>
        <w:jc w:val="both"/>
      </w:pPr>
    </w:p>
    <w:p w:rsidR="00026894" w:rsidRDefault="00B46A19" w:rsidP="00026894">
      <w:pPr>
        <w:numPr>
          <w:ilvl w:val="0"/>
          <w:numId w:val="20"/>
        </w:numPr>
        <w:spacing w:after="0" w:line="240" w:lineRule="auto"/>
        <w:ind w:left="360" w:hanging="360"/>
        <w:jc w:val="both"/>
        <w:rPr>
          <w:b/>
        </w:rPr>
      </w:pPr>
      <w:hyperlink r:id="rId14">
        <w:r w:rsidR="00026894">
          <w:rPr>
            <w:b/>
            <w:color w:val="0000FF"/>
            <w:u w:val="single"/>
          </w:rPr>
          <w:t>Fraud and Corruption</w:t>
        </w:r>
      </w:hyperlink>
    </w:p>
    <w:p w:rsidR="00026894" w:rsidRDefault="00026894" w:rsidP="00026894">
      <w:pPr>
        <w:spacing w:after="0" w:line="276" w:lineRule="auto"/>
        <w:ind w:firstLine="360"/>
        <w:jc w:val="both"/>
      </w:pPr>
      <w:r>
        <w:t xml:space="preserve">UNFPA is committed to preventing, identifying, and addressing all acts of fraud against UNFPA, as well as against third parties involved in UNFPA activities. UNFPA’s policy regarding fraud and corruption is available here: </w:t>
      </w:r>
      <w:hyperlink r:id="rId15">
        <w:r>
          <w:rPr>
            <w:color w:val="003366"/>
            <w:u w:val="single"/>
          </w:rPr>
          <w:t>Fraud Policy</w:t>
        </w:r>
      </w:hyperlink>
      <w:r>
        <w:t xml:space="preserve">. Submission of a proposal implies that the Bidder is aware of this policy. </w:t>
      </w:r>
    </w:p>
    <w:p w:rsidR="00026894" w:rsidRDefault="00026894" w:rsidP="00026894">
      <w:pPr>
        <w:spacing w:after="0" w:line="276" w:lineRule="auto"/>
        <w:ind w:firstLine="360"/>
        <w:jc w:val="both"/>
      </w:pPr>
    </w:p>
    <w:p w:rsidR="00026894" w:rsidRDefault="00026894" w:rsidP="00026894">
      <w:pPr>
        <w:spacing w:after="0" w:line="276" w:lineRule="auto"/>
        <w:ind w:firstLine="360"/>
        <w:jc w:val="both"/>
      </w:pPr>
      <w:r>
        <w:lastRenderedPageBreak/>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026894" w:rsidRDefault="00026894" w:rsidP="00026894">
      <w:pPr>
        <w:spacing w:after="0" w:line="276" w:lineRule="auto"/>
        <w:jc w:val="both"/>
      </w:pPr>
    </w:p>
    <w:p w:rsidR="00026894" w:rsidRDefault="00026894" w:rsidP="00026894">
      <w:pPr>
        <w:spacing w:after="0" w:line="276" w:lineRule="auto"/>
        <w:ind w:firstLine="360"/>
        <w:jc w:val="both"/>
        <w:rPr>
          <w:color w:val="003366"/>
          <w:u w:val="single"/>
        </w:rPr>
      </w:pPr>
      <w:r>
        <w:t xml:space="preserve">A confidential Anti-Fraud Hotline is available to any Bidder to report suspicious fraudulent activities at </w:t>
      </w:r>
      <w:hyperlink r:id="rId16">
        <w:r>
          <w:rPr>
            <w:color w:val="003366"/>
            <w:u w:val="single"/>
          </w:rPr>
          <w:t>UNFPA Investigation Hotline</w:t>
        </w:r>
      </w:hyperlink>
      <w:r>
        <w:rPr>
          <w:color w:val="003366"/>
          <w:u w:val="single"/>
        </w:rPr>
        <w:t>.</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pPr>
    </w:p>
    <w:p w:rsidR="00026894" w:rsidRDefault="00026894" w:rsidP="00026894">
      <w:pPr>
        <w:numPr>
          <w:ilvl w:val="0"/>
          <w:numId w:val="21"/>
        </w:numPr>
        <w:spacing w:after="0" w:line="240" w:lineRule="auto"/>
        <w:ind w:left="360" w:hanging="360"/>
        <w:jc w:val="both"/>
        <w:rPr>
          <w:b/>
        </w:rPr>
      </w:pPr>
      <w:r>
        <w:rPr>
          <w:b/>
        </w:rPr>
        <w:t>Zero Tolerance</w:t>
      </w:r>
    </w:p>
    <w:p w:rsidR="00026894" w:rsidRDefault="00026894" w:rsidP="00026894">
      <w:pPr>
        <w:spacing w:after="0" w:line="240" w:lineRule="auto"/>
        <w:ind w:firstLine="360"/>
        <w:jc w:val="both"/>
      </w:pPr>
      <w:r>
        <w:t xml:space="preserve">UNFPA has adopted a zero-tolerance policy on gifts and hospitality. Suppliers are therefore requested not to send gifts or offer hospitality to UNFPA personnel. Further details on this policy are available here: </w:t>
      </w:r>
      <w:hyperlink r:id="rId17">
        <w:r>
          <w:rPr>
            <w:color w:val="003366"/>
            <w:u w:val="single"/>
          </w:rPr>
          <w:t>Zero Tolerance Policy</w:t>
        </w:r>
      </w:hyperlink>
      <w:r>
        <w:t xml:space="preserve">. </w:t>
      </w:r>
    </w:p>
    <w:p w:rsidR="00026894" w:rsidRDefault="00026894" w:rsidP="00026894">
      <w:pPr>
        <w:spacing w:after="0" w:line="240" w:lineRule="auto"/>
        <w:jc w:val="both"/>
        <w:rPr>
          <w:b/>
          <w:u w:val="single"/>
        </w:rPr>
      </w:pPr>
    </w:p>
    <w:p w:rsidR="00026894" w:rsidRDefault="00026894" w:rsidP="00026894">
      <w:pPr>
        <w:numPr>
          <w:ilvl w:val="0"/>
          <w:numId w:val="22"/>
        </w:numPr>
        <w:spacing w:after="0" w:line="240" w:lineRule="auto"/>
        <w:ind w:left="360" w:hanging="360"/>
        <w:jc w:val="both"/>
        <w:rPr>
          <w:b/>
        </w:rPr>
      </w:pPr>
      <w:r>
        <w:rPr>
          <w:b/>
        </w:rPr>
        <w:t>RFQ Protest</w:t>
      </w:r>
    </w:p>
    <w:p w:rsidR="00026894" w:rsidRDefault="00026894" w:rsidP="00026894">
      <w:pPr>
        <w:tabs>
          <w:tab w:val="left" w:pos="851"/>
        </w:tabs>
        <w:spacing w:after="0" w:line="276" w:lineRule="auto"/>
        <w:ind w:firstLine="284"/>
        <w:jc w:val="both"/>
      </w:pPr>
      <w:r>
        <w:t xml:space="preserve">Bidder(s) perceiving that they have been unjustly treated in connection with the solicitation or award of a contract may submit a complaint directly to the Chief, Procurement Services Branch at </w:t>
      </w:r>
      <w:hyperlink r:id="rId18">
        <w:r>
          <w:rPr>
            <w:color w:val="003366"/>
            <w:u w:val="single"/>
          </w:rPr>
          <w:t>procurement@unfpa.org</w:t>
        </w:r>
      </w:hyperlink>
      <w:r>
        <w:t>.</w:t>
      </w:r>
    </w:p>
    <w:p w:rsidR="00026894" w:rsidRDefault="00026894" w:rsidP="00026894">
      <w:pPr>
        <w:tabs>
          <w:tab w:val="left" w:pos="851"/>
        </w:tabs>
        <w:spacing w:after="0" w:line="276" w:lineRule="auto"/>
        <w:jc w:val="both"/>
        <w:rPr>
          <w:shd w:val="clear" w:color="auto" w:fill="FFFF00"/>
        </w:rPr>
      </w:pPr>
    </w:p>
    <w:p w:rsidR="00026894" w:rsidRDefault="00026894" w:rsidP="00026894">
      <w:pPr>
        <w:tabs>
          <w:tab w:val="center" w:pos="4320"/>
          <w:tab w:val="right" w:pos="8640"/>
        </w:tabs>
        <w:spacing w:after="0" w:line="240" w:lineRule="auto"/>
        <w:ind w:firstLine="284"/>
        <w:jc w:val="both"/>
      </w:pPr>
      <w:r>
        <w:tab/>
        <w:t xml:space="preserve">Bidder(s) perceiving that they have been unjustly or unfairly treated in connection with a solicitation, evaluation, or award of a contract may submit a complaint to </w:t>
      </w:r>
      <w:r w:rsidR="00735865">
        <w:t xml:space="preserve">the UNFPA </w:t>
      </w:r>
      <w:r w:rsidR="00735865">
        <w:rPr>
          <w:lang w:val="en-US"/>
        </w:rPr>
        <w:t>Programme Manager</w:t>
      </w:r>
      <w:r>
        <w:t xml:space="preserve"> </w:t>
      </w:r>
      <w:r w:rsidR="00735865">
        <w:rPr>
          <w:lang w:val="en-US"/>
        </w:rPr>
        <w:t>Olesia Kompaniiets</w:t>
      </w:r>
      <w:r>
        <w:t xml:space="preserve"> at </w:t>
      </w:r>
      <w:r w:rsidR="00BF48CC">
        <w:rPr>
          <w:lang w:val="en-US"/>
        </w:rPr>
        <w:t>e</w:t>
      </w:r>
      <w:bookmarkStart w:id="0" w:name="_GoBack"/>
      <w:bookmarkEnd w:id="0"/>
      <w:r>
        <w:t xml:space="preserve">-mail: </w:t>
      </w:r>
      <w:hyperlink r:id="rId19" w:history="1">
        <w:r w:rsidR="00735865" w:rsidRPr="003C1E65">
          <w:rPr>
            <w:rStyle w:val="Hyperlink"/>
            <w:lang w:val="en-US"/>
          </w:rPr>
          <w:t>kompaniiets@</w:t>
        </w:r>
        <w:r w:rsidR="00735865" w:rsidRPr="003C1E65">
          <w:rPr>
            <w:rStyle w:val="Hyperlink"/>
          </w:rPr>
          <w:t>unfpa.org</w:t>
        </w:r>
      </w:hyperlink>
      <w:r>
        <w:rPr>
          <w:color w:val="003366"/>
          <w:u w:val="single"/>
        </w:rPr>
        <w:t>.</w:t>
      </w:r>
      <w:r>
        <w:t xml:space="preserve"> Should the supplier be unsatisfied with the reply provided by the UNFPA Head of the Business Unit, the supplier may contact the Chief, Procurement Services Branch at </w:t>
      </w:r>
      <w:hyperlink r:id="rId20">
        <w:r>
          <w:rPr>
            <w:color w:val="003366"/>
            <w:u w:val="single"/>
          </w:rPr>
          <w:t>procurement@unfpa.org</w:t>
        </w:r>
      </w:hyperlink>
      <w:r>
        <w:t>.</w:t>
      </w:r>
    </w:p>
    <w:p w:rsidR="00026894" w:rsidRDefault="00026894" w:rsidP="0002689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u w:val="single"/>
        </w:rPr>
      </w:pPr>
    </w:p>
    <w:p w:rsidR="00026894" w:rsidRDefault="00026894" w:rsidP="00026894">
      <w:pPr>
        <w:numPr>
          <w:ilvl w:val="0"/>
          <w:numId w:val="23"/>
        </w:numPr>
        <w:spacing w:after="0" w:line="240" w:lineRule="auto"/>
        <w:ind w:left="360" w:hanging="360"/>
        <w:jc w:val="both"/>
        <w:rPr>
          <w:b/>
        </w:rPr>
      </w:pPr>
      <w:r>
        <w:rPr>
          <w:b/>
        </w:rPr>
        <w:t>Disclaimer</w:t>
      </w:r>
    </w:p>
    <w:p w:rsidR="00026894" w:rsidRDefault="00026894" w:rsidP="00026894">
      <w:pPr>
        <w:tabs>
          <w:tab w:val="left" w:pos="851"/>
        </w:tabs>
        <w:spacing w:after="0" w:line="276" w:lineRule="auto"/>
        <w:ind w:firstLine="284"/>
        <w:jc w:val="both"/>
      </w:pPr>
      <w:r>
        <w:t>Should any of the links in this RFQ document be unavailable or inaccessible for any reason, bidders can contact the Procurement Officer in charge of the procurement to request for them to share a PDF version of such document(s). English version of request for quotations prevails.</w:t>
      </w: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tabs>
          <w:tab w:val="left" w:pos="851"/>
        </w:tabs>
        <w:spacing w:after="0" w:line="276" w:lineRule="auto"/>
        <w:ind w:firstLine="284"/>
        <w:jc w:val="both"/>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jc w:val="center"/>
        <w:rPr>
          <w:b/>
          <w:caps/>
        </w:rPr>
      </w:pPr>
      <w:r>
        <w:rPr>
          <w:b/>
        </w:rPr>
        <w:t xml:space="preserve">PRICE </w:t>
      </w:r>
      <w:r>
        <w:rPr>
          <w:b/>
          <w:caps/>
        </w:rPr>
        <w:t>Quotation Form</w:t>
      </w:r>
    </w:p>
    <w:p w:rsidR="00026894" w:rsidRDefault="00026894" w:rsidP="00026894">
      <w:pPr>
        <w:spacing w:after="0" w:line="240" w:lineRule="auto"/>
      </w:pPr>
    </w:p>
    <w:tbl>
      <w:tblPr>
        <w:tblW w:w="0" w:type="auto"/>
        <w:tblInd w:w="108" w:type="dxa"/>
        <w:tblCellMar>
          <w:left w:w="10" w:type="dxa"/>
          <w:right w:w="10" w:type="dxa"/>
        </w:tblCellMar>
        <w:tblLook w:val="0000" w:firstRow="0" w:lastRow="0" w:firstColumn="0" w:lastColumn="0" w:noHBand="0" w:noVBand="0"/>
      </w:tblPr>
      <w:tblGrid>
        <w:gridCol w:w="3708"/>
        <w:gridCol w:w="4814"/>
      </w:tblGrid>
      <w:tr w:rsidR="00026894" w:rsidTr="00421C69">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026894" w:rsidRDefault="00026894" w:rsidP="00421C69">
            <w:pPr>
              <w:spacing w:after="0" w:line="240" w:lineRule="auto"/>
            </w:pPr>
            <w:r>
              <w:rPr>
                <w:b/>
              </w:rPr>
              <w:t>Name of Bidder:</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026894" w:rsidRDefault="00026894" w:rsidP="00421C69">
            <w:pPr>
              <w:spacing w:after="0" w:line="240" w:lineRule="auto"/>
              <w:jc w:val="center"/>
            </w:pPr>
          </w:p>
        </w:tc>
      </w:tr>
      <w:tr w:rsidR="00026894" w:rsidTr="00421C69">
        <w:trPr>
          <w:gridAfter w:val="1"/>
          <w:wAfter w:w="4814" w:type="dxa"/>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026894" w:rsidRDefault="00026894" w:rsidP="00421C69">
            <w:pPr>
              <w:spacing w:after="0" w:line="240" w:lineRule="auto"/>
            </w:pPr>
            <w:r>
              <w:rPr>
                <w:b/>
              </w:rPr>
              <w:t>Date of the quotation:</w:t>
            </w:r>
          </w:p>
        </w:tc>
      </w:tr>
      <w:tr w:rsidR="00026894" w:rsidTr="00421C69">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026894" w:rsidRDefault="00026894" w:rsidP="00421C69">
            <w:pPr>
              <w:spacing w:after="0" w:line="240" w:lineRule="auto"/>
            </w:pPr>
            <w:r>
              <w:rPr>
                <w:b/>
              </w:rPr>
              <w:t>Request for quotation Nº:</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026894" w:rsidRPr="00735865" w:rsidRDefault="00026894" w:rsidP="00421C69">
            <w:pPr>
              <w:spacing w:after="0" w:line="240" w:lineRule="auto"/>
              <w:jc w:val="center"/>
              <w:rPr>
                <w:lang w:val="en-US"/>
              </w:rPr>
            </w:pPr>
            <w:r>
              <w:t>UNFPA/UKR/RFQ/20/</w:t>
            </w:r>
            <w:r w:rsidR="00735865">
              <w:rPr>
                <w:lang w:val="en-US"/>
              </w:rPr>
              <w:t>03</w:t>
            </w:r>
          </w:p>
        </w:tc>
      </w:tr>
      <w:tr w:rsidR="00026894" w:rsidTr="00421C69">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026894" w:rsidRDefault="00026894" w:rsidP="00421C69">
            <w:pPr>
              <w:spacing w:after="0" w:line="240" w:lineRule="auto"/>
            </w:pPr>
            <w:r>
              <w:rPr>
                <w:b/>
              </w:rPr>
              <w:t>Currency of quotation:</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026894" w:rsidRDefault="00026894" w:rsidP="00421C69">
            <w:pPr>
              <w:spacing w:after="0" w:line="240" w:lineRule="auto"/>
              <w:jc w:val="center"/>
            </w:pPr>
            <w:r>
              <w:t>UAH</w:t>
            </w:r>
          </w:p>
        </w:tc>
      </w:tr>
      <w:tr w:rsidR="00026894" w:rsidTr="00421C69">
        <w:trPr>
          <w:trHeight w:val="1"/>
        </w:trPr>
        <w:tc>
          <w:tcPr>
            <w:tcW w:w="3708"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tcPr>
          <w:p w:rsidR="00026894" w:rsidRDefault="00026894" w:rsidP="00421C69">
            <w:pPr>
              <w:spacing w:after="0" w:line="240" w:lineRule="auto"/>
              <w:rPr>
                <w:b/>
              </w:rPr>
            </w:pPr>
            <w:r>
              <w:rPr>
                <w:b/>
              </w:rPr>
              <w:t>Validity of quotation:</w:t>
            </w:r>
          </w:p>
          <w:p w:rsidR="00026894" w:rsidRDefault="00026894" w:rsidP="00421C69">
            <w:pPr>
              <w:spacing w:after="0" w:line="240" w:lineRule="auto"/>
              <w:jc w:val="both"/>
            </w:pPr>
            <w:r>
              <w:rPr>
                <w:i/>
              </w:rPr>
              <w:t>(The quotation shall be valid for a period of at least 2 months after the submission deadline)</w:t>
            </w:r>
          </w:p>
        </w:tc>
        <w:tc>
          <w:tcPr>
            <w:tcW w:w="4814" w:type="dxa"/>
            <w:tcBorders>
              <w:top w:val="single" w:sz="4" w:space="0" w:color="F2F2F2"/>
              <w:left w:val="single" w:sz="4" w:space="0" w:color="F2F2F2"/>
              <w:bottom w:val="single" w:sz="4" w:space="0" w:color="F2F2F2"/>
              <w:right w:val="single" w:sz="4" w:space="0" w:color="F2F2F2"/>
            </w:tcBorders>
            <w:shd w:val="clear" w:color="000000" w:fill="FFFFFF"/>
            <w:tcMar>
              <w:left w:w="108" w:type="dxa"/>
              <w:right w:w="108" w:type="dxa"/>
            </w:tcMar>
            <w:vAlign w:val="center"/>
          </w:tcPr>
          <w:p w:rsidR="00026894" w:rsidRDefault="00026894" w:rsidP="00421C69">
            <w:pPr>
              <w:spacing w:after="0" w:line="240" w:lineRule="auto"/>
              <w:jc w:val="center"/>
            </w:pPr>
          </w:p>
        </w:tc>
      </w:tr>
    </w:tbl>
    <w:p w:rsidR="00026894" w:rsidRDefault="00026894" w:rsidP="00026894">
      <w:pPr>
        <w:spacing w:after="0" w:line="240" w:lineRule="auto"/>
        <w:rPr>
          <w:b/>
          <w:u w:val="single"/>
        </w:rPr>
      </w:pPr>
    </w:p>
    <w:p w:rsidR="00026894" w:rsidRDefault="00026894" w:rsidP="00026894">
      <w:pPr>
        <w:numPr>
          <w:ilvl w:val="0"/>
          <w:numId w:val="24"/>
        </w:numPr>
        <w:tabs>
          <w:tab w:val="left" w:pos="2160"/>
        </w:tabs>
        <w:spacing w:after="0" w:line="240" w:lineRule="auto"/>
        <w:ind w:left="426" w:hanging="426"/>
        <w:jc w:val="both"/>
      </w:pPr>
      <w:r>
        <w:t xml:space="preserve">Quoted rates must be </w:t>
      </w:r>
      <w:r>
        <w:rPr>
          <w:b/>
          <w:color w:val="FF0000"/>
        </w:rPr>
        <w:t>exclusive of all taxes</w:t>
      </w:r>
      <w:r>
        <w:t xml:space="preserve">, since UNFPA is exempt from taxes. </w:t>
      </w:r>
    </w:p>
    <w:p w:rsidR="00026894" w:rsidRDefault="00026894" w:rsidP="00026894">
      <w:pPr>
        <w:spacing w:after="0" w:line="240" w:lineRule="auto"/>
        <w:rPr>
          <w:b/>
          <w:u w:val="single"/>
        </w:rPr>
      </w:pPr>
    </w:p>
    <w:p w:rsidR="00026894" w:rsidRDefault="00026894" w:rsidP="00026894">
      <w:pPr>
        <w:spacing w:after="0" w:line="240" w:lineRule="auto"/>
        <w:rPr>
          <w:b/>
          <w:u w:val="single"/>
        </w:rPr>
      </w:pPr>
    </w:p>
    <w:tbl>
      <w:tblPr>
        <w:tblW w:w="0" w:type="auto"/>
        <w:jc w:val="center"/>
        <w:tblCellMar>
          <w:left w:w="10" w:type="dxa"/>
          <w:right w:w="10" w:type="dxa"/>
        </w:tblCellMar>
        <w:tblLook w:val="0000" w:firstRow="0" w:lastRow="0" w:firstColumn="0" w:lastColumn="0" w:noHBand="0" w:noVBand="0"/>
      </w:tblPr>
      <w:tblGrid>
        <w:gridCol w:w="646"/>
        <w:gridCol w:w="3946"/>
        <w:gridCol w:w="1471"/>
        <w:gridCol w:w="1236"/>
        <w:gridCol w:w="1147"/>
        <w:gridCol w:w="1190"/>
      </w:tblGrid>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t>Item</w:t>
            </w:r>
          </w:p>
        </w:tc>
        <w:tc>
          <w:tcPr>
            <w:tcW w:w="4230"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t>Description</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t>Number of Staff by Level/number of clicks, views etc</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t>Hourly Rate/price per click/view etc</w:t>
            </w:r>
          </w:p>
        </w:tc>
        <w:tc>
          <w:tcPr>
            <w:tcW w:w="124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p>
        </w:tc>
        <w:tc>
          <w:tcPr>
            <w:tcW w:w="1245"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026894" w:rsidRDefault="00026894" w:rsidP="00421C69">
            <w:pPr>
              <w:spacing w:after="0" w:line="240" w:lineRule="auto"/>
              <w:jc w:val="center"/>
            </w:pPr>
            <w:r>
              <w:t>Total</w:t>
            </w:r>
          </w:p>
        </w:tc>
      </w:tr>
      <w:tr w:rsidR="00026894" w:rsidTr="00421C69">
        <w:trPr>
          <w:trHeight w:val="1"/>
          <w:jc w:val="center"/>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tcPr>
          <w:p w:rsidR="00026894" w:rsidRDefault="00026894" w:rsidP="00026894">
            <w:pPr>
              <w:numPr>
                <w:ilvl w:val="0"/>
                <w:numId w:val="25"/>
              </w:numPr>
              <w:tabs>
                <w:tab w:val="left" w:pos="360"/>
              </w:tabs>
              <w:spacing w:after="0" w:line="240" w:lineRule="auto"/>
              <w:ind w:left="360" w:hanging="360"/>
            </w:pPr>
            <w:r>
              <w:t>Professional Fees</w:t>
            </w:r>
          </w:p>
        </w:tc>
      </w:tr>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21C69">
        <w:trPr>
          <w:trHeight w:val="1"/>
          <w:jc w:val="center"/>
        </w:trPr>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right"/>
            </w:pPr>
            <w:r>
              <w:rPr>
                <w:i/>
              </w:rPr>
              <w:t>Total Professional Fees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right"/>
            </w:pPr>
            <w:r>
              <w:t>UAH</w:t>
            </w:r>
          </w:p>
        </w:tc>
      </w:tr>
      <w:tr w:rsidR="00026894" w:rsidTr="00421C69">
        <w:trPr>
          <w:trHeight w:val="1"/>
          <w:jc w:val="center"/>
        </w:trPr>
        <w:tc>
          <w:tcPr>
            <w:tcW w:w="9855" w:type="dxa"/>
            <w:gridSpan w:val="6"/>
            <w:tcBorders>
              <w:top w:val="single" w:sz="4" w:space="0" w:color="000000"/>
              <w:left w:val="single" w:sz="4" w:space="0" w:color="000000"/>
              <w:bottom w:val="single" w:sz="4" w:space="0" w:color="000000"/>
              <w:right w:val="single" w:sz="4" w:space="0" w:color="000000"/>
            </w:tcBorders>
            <w:shd w:val="clear" w:color="auto" w:fill="DDDDDD"/>
            <w:tcMar>
              <w:left w:w="108" w:type="dxa"/>
              <w:right w:w="108" w:type="dxa"/>
            </w:tcMar>
          </w:tcPr>
          <w:p w:rsidR="00026894" w:rsidRDefault="00026894" w:rsidP="00026894">
            <w:pPr>
              <w:numPr>
                <w:ilvl w:val="0"/>
                <w:numId w:val="26"/>
              </w:numPr>
              <w:tabs>
                <w:tab w:val="left" w:pos="360"/>
              </w:tabs>
              <w:spacing w:after="0" w:line="240" w:lineRule="auto"/>
              <w:ind w:left="360" w:hanging="360"/>
              <w:jc w:val="both"/>
            </w:pPr>
            <w:r>
              <w:t>Out-of-Pocket expenses</w:t>
            </w:r>
          </w:p>
        </w:tc>
      </w:tr>
      <w:tr w:rsidR="00026894" w:rsidTr="00421C69">
        <w:trPr>
          <w:trHeight w:val="1"/>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32C70">
        <w:trPr>
          <w:trHeight w:val="354"/>
          <w:jc w:val="center"/>
        </w:trPr>
        <w:tc>
          <w:tcPr>
            <w:tcW w:w="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both"/>
            </w:pPr>
          </w:p>
        </w:tc>
      </w:tr>
      <w:tr w:rsidR="00026894" w:rsidTr="00421C69">
        <w:trPr>
          <w:trHeight w:val="1"/>
          <w:jc w:val="center"/>
        </w:trPr>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right"/>
            </w:pPr>
            <w:r>
              <w:rPr>
                <w:i/>
              </w:rPr>
              <w:t>Total Out of Pocket Expenses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right"/>
            </w:pPr>
            <w:r>
              <w:t>UAH</w:t>
            </w:r>
          </w:p>
        </w:tc>
      </w:tr>
      <w:tr w:rsidR="00026894" w:rsidTr="00421C69">
        <w:trPr>
          <w:trHeight w:val="1"/>
          <w:jc w:val="center"/>
        </w:trPr>
        <w:tc>
          <w:tcPr>
            <w:tcW w:w="861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6894" w:rsidRDefault="00026894" w:rsidP="00421C69">
            <w:pPr>
              <w:spacing w:after="0" w:line="240" w:lineRule="auto"/>
              <w:jc w:val="right"/>
              <w:rPr>
                <w:b/>
                <w:i/>
              </w:rPr>
            </w:pPr>
            <w:r>
              <w:rPr>
                <w:b/>
                <w:i/>
              </w:rPr>
              <w:t xml:space="preserve">Total Contract Price </w:t>
            </w:r>
          </w:p>
          <w:p w:rsidR="00026894" w:rsidRDefault="00026894" w:rsidP="00421C69">
            <w:pPr>
              <w:spacing w:after="0" w:line="240" w:lineRule="auto"/>
              <w:jc w:val="right"/>
            </w:pPr>
            <w:r>
              <w:rPr>
                <w:i/>
              </w:rPr>
              <w:t>(Professional Fees + Out of Pocket Expenses)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26894" w:rsidRDefault="00026894" w:rsidP="00421C69">
            <w:pPr>
              <w:spacing w:after="0" w:line="240" w:lineRule="auto"/>
              <w:jc w:val="right"/>
            </w:pPr>
            <w:r>
              <w:t>UAH</w:t>
            </w:r>
          </w:p>
        </w:tc>
      </w:tr>
    </w:tbl>
    <w:p w:rsidR="00026894" w:rsidRDefault="00026894" w:rsidP="00026894">
      <w:pPr>
        <w:spacing w:after="0" w:line="240" w:lineRule="auto"/>
        <w:rPr>
          <w:b/>
        </w:rPr>
      </w:pPr>
    </w:p>
    <w:p w:rsidR="00026894" w:rsidRDefault="00026894" w:rsidP="00026894">
      <w:pPr>
        <w:tabs>
          <w:tab w:val="left" w:pos="-180"/>
          <w:tab w:val="right" w:pos="1980"/>
          <w:tab w:val="left" w:pos="2160"/>
          <w:tab w:val="left" w:pos="4320"/>
        </w:tabs>
        <w:spacing w:after="0" w:line="240" w:lineRule="auto"/>
        <w:rPr>
          <w:b/>
        </w:rPr>
      </w:pPr>
    </w:p>
    <w:p w:rsidR="00026894" w:rsidRDefault="00026894" w:rsidP="00026894">
      <w:pPr>
        <w:tabs>
          <w:tab w:val="left" w:pos="-180"/>
          <w:tab w:val="right" w:pos="1980"/>
          <w:tab w:val="left" w:pos="2160"/>
          <w:tab w:val="left" w:pos="4320"/>
        </w:tabs>
        <w:spacing w:after="0" w:line="240" w:lineRule="auto"/>
        <w:rPr>
          <w:b/>
        </w:rPr>
      </w:pPr>
    </w:p>
    <w:p w:rsidR="00026894" w:rsidRPr="00366597" w:rsidRDefault="00026894" w:rsidP="00026894">
      <w:pPr>
        <w:spacing w:after="0" w:line="240" w:lineRule="auto"/>
        <w:jc w:val="both"/>
        <w:rPr>
          <w:b/>
          <w:color w:val="FF0000"/>
        </w:rPr>
      </w:pPr>
      <w:r>
        <w:t>I hereby certify that the company mentioned above, which I am duly authorized to sign for, has reviewed RFQ UNFPA/UKR/RFQ/20/</w:t>
      </w:r>
      <w:r w:rsidR="00432C70" w:rsidRPr="00432C70">
        <w:t>0</w:t>
      </w:r>
      <w:r w:rsidR="00432C70" w:rsidRPr="00432C70">
        <w:rPr>
          <w:lang w:val="en-US"/>
        </w:rPr>
        <w:t>3</w:t>
      </w:r>
      <w:r>
        <w:t xml:space="preserve"> </w:t>
      </w:r>
      <w:r>
        <w:rPr>
          <w:b/>
        </w:rPr>
        <w:t>(</w:t>
      </w:r>
      <w:r w:rsidR="00366597">
        <w:rPr>
          <w:b/>
        </w:rPr>
        <w:t xml:space="preserve">Production of video </w:t>
      </w:r>
      <w:r w:rsidR="00366597">
        <w:rPr>
          <w:b/>
          <w:lang w:val="en-US"/>
        </w:rPr>
        <w:t>clips and</w:t>
      </w:r>
      <w:r w:rsidR="00366597">
        <w:rPr>
          <w:b/>
        </w:rPr>
        <w:t xml:space="preserve"> </w:t>
      </w:r>
      <w:r w:rsidR="00366597">
        <w:rPr>
          <w:b/>
          <w:lang w:val="en-US"/>
        </w:rPr>
        <w:t xml:space="preserve">infographic images </w:t>
      </w:r>
      <w:r w:rsidR="00366597">
        <w:rPr>
          <w:b/>
        </w:rPr>
        <w:t>for International Forum on GBV response</w:t>
      </w:r>
      <w:r>
        <w:rPr>
          <w:b/>
        </w:rPr>
        <w:t>)</w:t>
      </w:r>
      <w: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026894" w:rsidRDefault="00026894" w:rsidP="00026894">
      <w:pPr>
        <w:spacing w:after="0" w:line="240" w:lineRule="auto"/>
        <w:jc w:val="both"/>
      </w:pPr>
    </w:p>
    <w:p w:rsidR="00026894" w:rsidRDefault="00026894" w:rsidP="00026894">
      <w:pPr>
        <w:spacing w:after="0" w:line="240" w:lineRule="auto"/>
        <w:jc w:val="both"/>
        <w:rPr>
          <w:b/>
        </w:rPr>
      </w:pPr>
    </w:p>
    <w:tbl>
      <w:tblPr>
        <w:tblW w:w="0" w:type="auto"/>
        <w:tblInd w:w="108" w:type="dxa"/>
        <w:tblCellMar>
          <w:left w:w="10" w:type="dxa"/>
          <w:right w:w="10" w:type="dxa"/>
        </w:tblCellMar>
        <w:tblLook w:val="0000" w:firstRow="0" w:lastRow="0" w:firstColumn="0" w:lastColumn="0" w:noHBand="0" w:noVBand="0"/>
      </w:tblPr>
      <w:tblGrid>
        <w:gridCol w:w="4765"/>
        <w:gridCol w:w="4763"/>
      </w:tblGrid>
      <w:tr w:rsidR="00026894" w:rsidTr="00421C69">
        <w:trPr>
          <w:trHeight w:val="1"/>
        </w:trPr>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180"/>
                <w:tab w:val="right" w:pos="1980"/>
                <w:tab w:val="left" w:pos="2160"/>
                <w:tab w:val="left" w:pos="4320"/>
              </w:tabs>
              <w:spacing w:after="0" w:line="240" w:lineRule="auto"/>
            </w:pPr>
          </w:p>
          <w:p w:rsidR="00026894" w:rsidRDefault="00026894" w:rsidP="00421C69">
            <w:pPr>
              <w:tabs>
                <w:tab w:val="left" w:pos="-180"/>
                <w:tab w:val="right" w:pos="1980"/>
                <w:tab w:val="left" w:pos="2160"/>
                <w:tab w:val="left" w:pos="4320"/>
              </w:tabs>
              <w:spacing w:after="0" w:line="240" w:lineRule="auto"/>
            </w:pPr>
          </w:p>
          <w:p w:rsidR="00026894" w:rsidRDefault="00026894" w:rsidP="00421C69">
            <w:pPr>
              <w:tabs>
                <w:tab w:val="left" w:pos="-180"/>
                <w:tab w:val="right" w:pos="1980"/>
                <w:tab w:val="left" w:pos="2160"/>
                <w:tab w:val="left" w:pos="4320"/>
              </w:tabs>
              <w:spacing w:after="0" w:line="240" w:lineRule="auto"/>
            </w:pPr>
          </w:p>
        </w:tc>
        <w:tc>
          <w:tcPr>
            <w:tcW w:w="4928" w:type="dxa"/>
            <w:tcBorders>
              <w:top w:val="single" w:sz="4" w:space="0" w:color="D9D9D9"/>
              <w:left w:val="single" w:sz="4" w:space="0" w:color="D9D9D9"/>
              <w:bottom w:val="single" w:sz="4" w:space="0" w:color="D9D9D9"/>
              <w:right w:val="single" w:sz="4" w:space="0" w:color="D9D9D9"/>
            </w:tcBorders>
            <w:shd w:val="clear" w:color="000000" w:fill="FFFFFF"/>
            <w:tcMar>
              <w:left w:w="108" w:type="dxa"/>
              <w:right w:w="108" w:type="dxa"/>
            </w:tcMar>
            <w:vAlign w:val="center"/>
          </w:tcPr>
          <w:p w:rsidR="00026894" w:rsidRDefault="00026894" w:rsidP="00421C69">
            <w:pPr>
              <w:tabs>
                <w:tab w:val="left" w:pos="-180"/>
                <w:tab w:val="right" w:pos="1980"/>
                <w:tab w:val="left" w:pos="2160"/>
                <w:tab w:val="left" w:pos="4320"/>
              </w:tabs>
              <w:spacing w:after="0" w:line="240" w:lineRule="auto"/>
            </w:pPr>
          </w:p>
        </w:tc>
      </w:tr>
      <w:tr w:rsidR="00026894" w:rsidTr="00421C69">
        <w:trPr>
          <w:trHeight w:val="1"/>
        </w:trPr>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26894" w:rsidRDefault="00026894" w:rsidP="00421C69">
            <w:pPr>
              <w:tabs>
                <w:tab w:val="left" w:pos="-180"/>
                <w:tab w:val="right" w:pos="1980"/>
                <w:tab w:val="left" w:pos="2160"/>
                <w:tab w:val="left" w:pos="4320"/>
              </w:tabs>
              <w:spacing w:after="0" w:line="240" w:lineRule="auto"/>
              <w:jc w:val="center"/>
            </w:pPr>
            <w:r>
              <w:t>Name and title</w:t>
            </w:r>
          </w:p>
        </w:tc>
        <w:tc>
          <w:tcPr>
            <w:tcW w:w="4928" w:type="dxa"/>
            <w:tcBorders>
              <w:top w:val="single" w:sz="4" w:space="0" w:color="D9D9D9"/>
              <w:left w:val="single" w:sz="4" w:space="0" w:color="D9D9D9"/>
              <w:bottom w:val="single" w:sz="4" w:space="0" w:color="D9D9D9"/>
              <w:right w:val="single" w:sz="4" w:space="0" w:color="D9D9D9"/>
            </w:tcBorders>
            <w:shd w:val="clear" w:color="000000" w:fill="FFFFFF"/>
            <w:tcMar>
              <w:left w:w="108" w:type="dxa"/>
              <w:right w:w="108" w:type="dxa"/>
            </w:tcMar>
            <w:vAlign w:val="center"/>
          </w:tcPr>
          <w:p w:rsidR="00026894" w:rsidRDefault="00026894" w:rsidP="00421C69">
            <w:pPr>
              <w:tabs>
                <w:tab w:val="left" w:pos="-180"/>
                <w:tab w:val="right" w:pos="1980"/>
                <w:tab w:val="left" w:pos="2160"/>
                <w:tab w:val="left" w:pos="4320"/>
              </w:tabs>
              <w:spacing w:after="0" w:line="240" w:lineRule="auto"/>
              <w:jc w:val="center"/>
            </w:pPr>
            <w:r>
              <w:t>Date and place</w:t>
            </w:r>
          </w:p>
        </w:tc>
      </w:tr>
    </w:tbl>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rPr>
          <w:b/>
        </w:rPr>
      </w:pPr>
    </w:p>
    <w:p w:rsidR="00026894" w:rsidRDefault="00026894" w:rsidP="00026894">
      <w:pPr>
        <w:spacing w:after="0" w:line="240" w:lineRule="auto"/>
        <w:jc w:val="center"/>
        <w:rPr>
          <w:b/>
        </w:rPr>
      </w:pPr>
      <w:r>
        <w:rPr>
          <w:b/>
        </w:rPr>
        <w:t>ANNEX I:</w:t>
      </w:r>
    </w:p>
    <w:p w:rsidR="00026894" w:rsidRDefault="00026894" w:rsidP="00026894">
      <w:pPr>
        <w:spacing w:after="0" w:line="240" w:lineRule="auto"/>
        <w:jc w:val="center"/>
        <w:rPr>
          <w:b/>
        </w:rPr>
      </w:pPr>
      <w:r>
        <w:rPr>
          <w:b/>
        </w:rPr>
        <w:t>General Conditions of Contracts:</w:t>
      </w:r>
    </w:p>
    <w:p w:rsidR="00026894" w:rsidRDefault="00026894" w:rsidP="00026894">
      <w:pPr>
        <w:spacing w:after="0" w:line="240" w:lineRule="auto"/>
        <w:jc w:val="center"/>
        <w:rPr>
          <w:b/>
        </w:rPr>
      </w:pPr>
      <w:r>
        <w:rPr>
          <w:b/>
        </w:rPr>
        <w:t>De Minimis Contracts</w:t>
      </w:r>
    </w:p>
    <w:p w:rsidR="00026894" w:rsidRDefault="00026894" w:rsidP="00026894">
      <w:pPr>
        <w:spacing w:after="0" w:line="240" w:lineRule="auto"/>
      </w:pPr>
    </w:p>
    <w:p w:rsidR="00026894" w:rsidRDefault="00026894" w:rsidP="00026894">
      <w:pPr>
        <w:tabs>
          <w:tab w:val="left" w:pos="7020"/>
        </w:tabs>
        <w:spacing w:after="0" w:line="240" w:lineRule="auto"/>
      </w:pPr>
    </w:p>
    <w:p w:rsidR="00026894" w:rsidRDefault="00026894" w:rsidP="00026894">
      <w:pPr>
        <w:tabs>
          <w:tab w:val="left" w:pos="7020"/>
        </w:tabs>
        <w:spacing w:after="0" w:line="240" w:lineRule="auto"/>
      </w:pPr>
      <w:r>
        <w:t xml:space="preserve">This Request for Quotation is subject to UNFPA’s General Conditions of Contract: De Minimis Contracts, which are available in: </w:t>
      </w:r>
      <w:hyperlink r:id="rId21">
        <w:r>
          <w:rPr>
            <w:color w:val="003366"/>
            <w:u w:val="single"/>
          </w:rPr>
          <w:t>English,</w:t>
        </w:r>
      </w:hyperlink>
      <w:r>
        <w:t xml:space="preserve"> </w:t>
      </w:r>
      <w:hyperlink r:id="rId22">
        <w:r>
          <w:rPr>
            <w:color w:val="003366"/>
            <w:u w:val="single"/>
          </w:rPr>
          <w:t>Spanish</w:t>
        </w:r>
      </w:hyperlink>
      <w:r>
        <w:t xml:space="preserve"> and </w:t>
      </w:r>
      <w:hyperlink r:id="rId23">
        <w:r>
          <w:rPr>
            <w:color w:val="003366"/>
            <w:u w:val="single"/>
          </w:rPr>
          <w:t>French</w:t>
        </w:r>
      </w:hyperlink>
    </w:p>
    <w:p w:rsidR="00026894" w:rsidRDefault="00026894" w:rsidP="00026894">
      <w:pPr>
        <w:tabs>
          <w:tab w:val="left" w:pos="7020"/>
        </w:tabs>
        <w:spacing w:after="0" w:line="240" w:lineRule="auto"/>
      </w:pPr>
    </w:p>
    <w:p w:rsidR="00026894" w:rsidRDefault="00026894" w:rsidP="00026894">
      <w:pPr>
        <w:tabs>
          <w:tab w:val="left" w:pos="7020"/>
        </w:tabs>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spacing w:after="0" w:line="240" w:lineRule="auto"/>
      </w:pPr>
    </w:p>
    <w:p w:rsidR="00026894" w:rsidRDefault="00026894" w:rsidP="00026894">
      <w:pPr>
        <w:tabs>
          <w:tab w:val="left" w:pos="1644"/>
        </w:tabs>
        <w:spacing w:after="0" w:line="240" w:lineRule="auto"/>
      </w:pPr>
      <w:r>
        <w:tab/>
      </w:r>
    </w:p>
    <w:p w:rsidR="00867E67" w:rsidRDefault="00867E67" w:rsidP="00026894">
      <w:pPr>
        <w:tabs>
          <w:tab w:val="left" w:pos="5400"/>
        </w:tabs>
        <w:jc w:val="right"/>
      </w:pPr>
    </w:p>
    <w:sectPr w:rsidR="00867E67">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A19" w:rsidRDefault="00B46A19">
      <w:pPr>
        <w:spacing w:after="0" w:line="240" w:lineRule="auto"/>
      </w:pPr>
      <w:r>
        <w:separator/>
      </w:r>
    </w:p>
  </w:endnote>
  <w:endnote w:type="continuationSeparator" w:id="0">
    <w:p w:rsidR="00B46A19" w:rsidRDefault="00B4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A19" w:rsidRDefault="00B46A19">
      <w:pPr>
        <w:spacing w:after="0" w:line="240" w:lineRule="auto"/>
      </w:pPr>
      <w:r>
        <w:separator/>
      </w:r>
    </w:p>
  </w:footnote>
  <w:footnote w:type="continuationSeparator" w:id="0">
    <w:p w:rsidR="00B46A19" w:rsidRDefault="00B46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2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rsidR="00867E67" w:rsidRDefault="00A40986">
    <w:pPr>
      <w:pBdr>
        <w:top w:val="nil"/>
        <w:left w:val="nil"/>
        <w:bottom w:val="nil"/>
        <w:right w:val="nil"/>
        <w:between w:val="nil"/>
      </w:pBdr>
      <w:tabs>
        <w:tab w:val="center" w:pos="4986"/>
        <w:tab w:val="right" w:pos="9973"/>
      </w:tabs>
      <w:spacing w:after="0" w:line="240" w:lineRule="auto"/>
      <w:jc w:val="right"/>
      <w:rPr>
        <w:color w:val="000000"/>
      </w:rPr>
    </w:pPr>
    <w:r>
      <w:rPr>
        <w:color w:val="000000"/>
        <w:sz w:val="18"/>
        <w:szCs w:val="18"/>
      </w:rPr>
      <w:t>Website: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F1"/>
    <w:multiLevelType w:val="multilevel"/>
    <w:tmpl w:val="2DB0F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55278"/>
    <w:multiLevelType w:val="multilevel"/>
    <w:tmpl w:val="31A01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66718"/>
    <w:multiLevelType w:val="multilevel"/>
    <w:tmpl w:val="A88CB6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19057D"/>
    <w:multiLevelType w:val="multilevel"/>
    <w:tmpl w:val="91CA83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7794DE2"/>
    <w:multiLevelType w:val="multilevel"/>
    <w:tmpl w:val="37ECCEE0"/>
    <w:lvl w:ilvl="0">
      <w:start w:val="7"/>
      <w:numFmt w:val="bullet"/>
      <w:lvlText w:val="-"/>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59008F"/>
    <w:multiLevelType w:val="multilevel"/>
    <w:tmpl w:val="5B2066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A34A2"/>
    <w:multiLevelType w:val="hybridMultilevel"/>
    <w:tmpl w:val="B0B00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14608"/>
    <w:multiLevelType w:val="multilevel"/>
    <w:tmpl w:val="D862A1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C6EB4"/>
    <w:multiLevelType w:val="multilevel"/>
    <w:tmpl w:val="74FA3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E52FAB"/>
    <w:multiLevelType w:val="multilevel"/>
    <w:tmpl w:val="D7C08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B13239"/>
    <w:multiLevelType w:val="multilevel"/>
    <w:tmpl w:val="E8B4D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72792A"/>
    <w:multiLevelType w:val="multilevel"/>
    <w:tmpl w:val="1D50F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162E50"/>
    <w:multiLevelType w:val="multilevel"/>
    <w:tmpl w:val="B95A6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69559D"/>
    <w:multiLevelType w:val="multilevel"/>
    <w:tmpl w:val="7F00B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03DA4"/>
    <w:multiLevelType w:val="multilevel"/>
    <w:tmpl w:val="DED89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50491"/>
    <w:multiLevelType w:val="hybridMultilevel"/>
    <w:tmpl w:val="BDC4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C23B0"/>
    <w:multiLevelType w:val="multilevel"/>
    <w:tmpl w:val="C17E9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C52AE6"/>
    <w:multiLevelType w:val="multilevel"/>
    <w:tmpl w:val="01FEB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B4E0D3D"/>
    <w:multiLevelType w:val="multilevel"/>
    <w:tmpl w:val="27043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11113B"/>
    <w:multiLevelType w:val="multilevel"/>
    <w:tmpl w:val="7D5A7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71FC7"/>
    <w:multiLevelType w:val="multilevel"/>
    <w:tmpl w:val="780E1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31265"/>
    <w:multiLevelType w:val="hybridMultilevel"/>
    <w:tmpl w:val="BD4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3318F"/>
    <w:multiLevelType w:val="multilevel"/>
    <w:tmpl w:val="EDC4F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262C36"/>
    <w:multiLevelType w:val="multilevel"/>
    <w:tmpl w:val="95E04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DC036E"/>
    <w:multiLevelType w:val="multilevel"/>
    <w:tmpl w:val="765886F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713A2073"/>
    <w:multiLevelType w:val="multilevel"/>
    <w:tmpl w:val="29ECAA5C"/>
    <w:lvl w:ilvl="0">
      <w:start w:val="5"/>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2E05D01"/>
    <w:multiLevelType w:val="multilevel"/>
    <w:tmpl w:val="6D2EF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745164"/>
    <w:multiLevelType w:val="multilevel"/>
    <w:tmpl w:val="5B78A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0"/>
  </w:num>
  <w:num w:numId="3">
    <w:abstractNumId w:val="5"/>
  </w:num>
  <w:num w:numId="4">
    <w:abstractNumId w:val="26"/>
  </w:num>
  <w:num w:numId="5">
    <w:abstractNumId w:val="2"/>
  </w:num>
  <w:num w:numId="6">
    <w:abstractNumId w:val="18"/>
  </w:num>
  <w:num w:numId="7">
    <w:abstractNumId w:val="4"/>
  </w:num>
  <w:num w:numId="8">
    <w:abstractNumId w:val="3"/>
  </w:num>
  <w:num w:numId="9">
    <w:abstractNumId w:val="14"/>
  </w:num>
  <w:num w:numId="10">
    <w:abstractNumId w:val="19"/>
  </w:num>
  <w:num w:numId="11">
    <w:abstractNumId w:val="12"/>
  </w:num>
  <w:num w:numId="12">
    <w:abstractNumId w:val="11"/>
  </w:num>
  <w:num w:numId="13">
    <w:abstractNumId w:val="8"/>
  </w:num>
  <w:num w:numId="14">
    <w:abstractNumId w:val="21"/>
  </w:num>
  <w:num w:numId="15">
    <w:abstractNumId w:val="28"/>
  </w:num>
  <w:num w:numId="16">
    <w:abstractNumId w:val="1"/>
  </w:num>
  <w:num w:numId="17">
    <w:abstractNumId w:val="27"/>
  </w:num>
  <w:num w:numId="18">
    <w:abstractNumId w:val="7"/>
  </w:num>
  <w:num w:numId="19">
    <w:abstractNumId w:val="17"/>
  </w:num>
  <w:num w:numId="20">
    <w:abstractNumId w:val="13"/>
  </w:num>
  <w:num w:numId="21">
    <w:abstractNumId w:val="10"/>
  </w:num>
  <w:num w:numId="22">
    <w:abstractNumId w:val="20"/>
  </w:num>
  <w:num w:numId="23">
    <w:abstractNumId w:val="9"/>
  </w:num>
  <w:num w:numId="24">
    <w:abstractNumId w:val="15"/>
  </w:num>
  <w:num w:numId="25">
    <w:abstractNumId w:val="24"/>
  </w:num>
  <w:num w:numId="26">
    <w:abstractNumId w:val="23"/>
  </w:num>
  <w:num w:numId="27">
    <w:abstractNumId w:val="6"/>
  </w:num>
  <w:num w:numId="28">
    <w:abstractNumId w:val="1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24EAA"/>
    <w:rsid w:val="00026894"/>
    <w:rsid w:val="00045326"/>
    <w:rsid w:val="000C28A2"/>
    <w:rsid w:val="001662E4"/>
    <w:rsid w:val="001B1A66"/>
    <w:rsid w:val="001E2E99"/>
    <w:rsid w:val="002225AD"/>
    <w:rsid w:val="002E2451"/>
    <w:rsid w:val="00303329"/>
    <w:rsid w:val="003350CB"/>
    <w:rsid w:val="00366597"/>
    <w:rsid w:val="003C609B"/>
    <w:rsid w:val="003D2EE9"/>
    <w:rsid w:val="00432C70"/>
    <w:rsid w:val="00454DFC"/>
    <w:rsid w:val="005229F2"/>
    <w:rsid w:val="005C7FE6"/>
    <w:rsid w:val="0060164A"/>
    <w:rsid w:val="006E0E91"/>
    <w:rsid w:val="00735865"/>
    <w:rsid w:val="00751239"/>
    <w:rsid w:val="0075460F"/>
    <w:rsid w:val="00790238"/>
    <w:rsid w:val="00797FC7"/>
    <w:rsid w:val="007F3F51"/>
    <w:rsid w:val="0085611A"/>
    <w:rsid w:val="00867E67"/>
    <w:rsid w:val="0087723F"/>
    <w:rsid w:val="00885AD0"/>
    <w:rsid w:val="008F0927"/>
    <w:rsid w:val="008F4ADE"/>
    <w:rsid w:val="0095374C"/>
    <w:rsid w:val="009C49DA"/>
    <w:rsid w:val="00A15EED"/>
    <w:rsid w:val="00A35122"/>
    <w:rsid w:val="00A40986"/>
    <w:rsid w:val="00A90867"/>
    <w:rsid w:val="00AF6CB9"/>
    <w:rsid w:val="00B46A19"/>
    <w:rsid w:val="00B6503C"/>
    <w:rsid w:val="00BF48CC"/>
    <w:rsid w:val="00BF7611"/>
    <w:rsid w:val="00C73279"/>
    <w:rsid w:val="00C938F1"/>
    <w:rsid w:val="00CA2005"/>
    <w:rsid w:val="00D31433"/>
    <w:rsid w:val="00E3136B"/>
    <w:rsid w:val="00F17FA4"/>
    <w:rsid w:val="00F45BB7"/>
    <w:rsid w:val="00F77E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18D05-6766-4770-892B-EC0851DA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link w:val="ListParagraph"/>
    <w:uiPriority w:val="34"/>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un.org/" TargetMode="External"/><Relationship Id="rId18" Type="http://schemas.openxmlformats.org/officeDocument/2006/relationships/hyperlink" Target="mailto:procurement@unfpa.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unfpa.org/resources/unfpa-general-conditions-de-minimis-contracts" TargetMode="External"/><Relationship Id="rId7" Type="http://schemas.openxmlformats.org/officeDocument/2006/relationships/footnotes" Target="footnotes.xml"/><Relationship Id="rId12" Type="http://schemas.openxmlformats.org/officeDocument/2006/relationships/hyperlink" Target="https://www.youtube.com/watch?v=UbEirgWVTDc" TargetMode="External"/><Relationship Id="rId17" Type="http://schemas.openxmlformats.org/officeDocument/2006/relationships/hyperlink" Target="http://www.unfpa.org/about-procur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5KLf_hapcm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www.dropbox.com/s/j4tp9kdf8b6wpw9/%D0%94%D0%BE%D0%B4%D0%B0%D1%82%D0%BE%D0%BA%201.docx?dl=0" TargetMode="External"/><Relationship Id="rId19" Type="http://schemas.openxmlformats.org/officeDocument/2006/relationships/hyperlink" Target="mailto:kompaniiets@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2467645-6DCE-4B59-8FDF-B0EB33446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2536</Words>
  <Characters>14456</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Nadiia Chygarskykh</cp:lastModifiedBy>
  <cp:revision>2</cp:revision>
  <cp:lastPrinted>2019-07-31T07:38:00Z</cp:lastPrinted>
  <dcterms:created xsi:type="dcterms:W3CDTF">2020-01-13T13:42:00Z</dcterms:created>
  <dcterms:modified xsi:type="dcterms:W3CDTF">2020-01-13T13:42:00Z</dcterms:modified>
</cp:coreProperties>
</file>